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Губернатора ХМАО - Югры от 28.09.2004 N 141</w:t>
              <w:br/>
              <w:t xml:space="preserve">(ред. от 01.03.2024)</w:t>
              <w:br/>
              <w:t xml:space="preserve">"О Конкурсе социально значимых проектов и успешных гражданских практик "Премия "Признание"</w:t>
              <w:br/>
              <w:t xml:space="preserve">(вместе с "Положением о конкурсе социально значимых проектов и успешных гражданских практик "Премия "Признание")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ГУБЕРНАТОР ХАНТЫ-МАНСИЙСКОГО АВТОНОМНОГО ОКРУГА - ЮГРЫ</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сентября 2004 г. N 141</w:t>
      </w:r>
    </w:p>
    <w:p>
      <w:pPr>
        <w:pStyle w:val="2"/>
        <w:jc w:val="center"/>
      </w:pPr>
      <w:r>
        <w:rPr>
          <w:sz w:val="20"/>
        </w:rPr>
      </w:r>
    </w:p>
    <w:p>
      <w:pPr>
        <w:pStyle w:val="2"/>
        <w:jc w:val="center"/>
      </w:pPr>
      <w:r>
        <w:rPr>
          <w:sz w:val="20"/>
        </w:rPr>
        <w:t xml:space="preserve">О КОНКУРСЕ СОЦИАЛЬНО ЗНАЧИМЫХ ПРОЕКТОВ</w:t>
      </w:r>
    </w:p>
    <w:p>
      <w:pPr>
        <w:pStyle w:val="2"/>
        <w:jc w:val="center"/>
      </w:pPr>
      <w:r>
        <w:rPr>
          <w:sz w:val="20"/>
        </w:rPr>
        <w:t xml:space="preserve">И УСПЕШНЫХ ГРАЖДАНСКИХ ПРАКТИК "ПРЕМИЯ "ПРИЗНАНИЕ"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ХМАО - Югры от 01.09.2006 </w:t>
            </w:r>
            <w:hyperlink w:history="0" r:id="rId7" w:tooltip="Постановление Губернатора ХМАО - Югры от 01.09.2006 N 120 &quot;О внесении изменений в постановление Губернатора автономного округа от 28 сентября 2004 года N 141&quot; {КонсультантПлюс}">
              <w:r>
                <w:rPr>
                  <w:sz w:val="20"/>
                  <w:color w:val="0000ff"/>
                </w:rPr>
                <w:t xml:space="preserve">N 120</w:t>
              </w:r>
            </w:hyperlink>
            <w:r>
              <w:rPr>
                <w:sz w:val="20"/>
                <w:color w:val="392c69"/>
              </w:rPr>
              <w:t xml:space="preserve">,</w:t>
            </w:r>
          </w:p>
          <w:p>
            <w:pPr>
              <w:pStyle w:val="0"/>
              <w:jc w:val="center"/>
            </w:pPr>
            <w:r>
              <w:rPr>
                <w:sz w:val="20"/>
                <w:color w:val="392c69"/>
              </w:rPr>
              <w:t xml:space="preserve">от 08.10.2007 </w:t>
            </w:r>
            <w:hyperlink w:history="0" r:id="rId8" w:tooltip="Постановление Губернатора ХМАО - Югры от 08.10.2007 N 163 &quot;О внесении изменений в постановление Губернатора автономного округа от 28 сентября 2004 года N 141&quot; {КонсультантПлюс}">
              <w:r>
                <w:rPr>
                  <w:sz w:val="20"/>
                  <w:color w:val="0000ff"/>
                </w:rPr>
                <w:t xml:space="preserve">N 163</w:t>
              </w:r>
            </w:hyperlink>
            <w:r>
              <w:rPr>
                <w:sz w:val="20"/>
                <w:color w:val="392c69"/>
              </w:rPr>
              <w:t xml:space="preserve">, от 15.11.2010 </w:t>
            </w:r>
            <w:hyperlink w:history="0" r:id="rId9" w:tooltip="Постановление Губернатора ХМАО - Югры от 15.11.2010 N 211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в сфере социальной защиты населения Ханты-Мансийского автономного округа - Югры&quot; {КонсультантПлюс}">
              <w:r>
                <w:rPr>
                  <w:sz w:val="20"/>
                  <w:color w:val="0000ff"/>
                </w:rPr>
                <w:t xml:space="preserve">N 211</w:t>
              </w:r>
            </w:hyperlink>
            <w:r>
              <w:rPr>
                <w:sz w:val="20"/>
                <w:color w:val="392c69"/>
              </w:rPr>
              <w:t xml:space="preserve">, от 27.07.2011 </w:t>
            </w:r>
            <w:hyperlink w:history="0" r:id="rId10" w:tooltip="Постановление Губернатора ХМАО - Югры от 27.07.2011 N 105 &quot;О внесении изменений в некоторые постановления Губернатора Ханты-Мансийского автономного округа - Югры&quot; {КонсультантПлюс}">
              <w:r>
                <w:rPr>
                  <w:sz w:val="20"/>
                  <w:color w:val="0000ff"/>
                </w:rPr>
                <w:t xml:space="preserve">N 105</w:t>
              </w:r>
            </w:hyperlink>
            <w:r>
              <w:rPr>
                <w:sz w:val="20"/>
                <w:color w:val="392c69"/>
              </w:rPr>
              <w:t xml:space="preserve">,</w:t>
            </w:r>
          </w:p>
          <w:p>
            <w:pPr>
              <w:pStyle w:val="0"/>
              <w:jc w:val="center"/>
            </w:pPr>
            <w:r>
              <w:rPr>
                <w:sz w:val="20"/>
                <w:color w:val="392c69"/>
              </w:rPr>
              <w:t xml:space="preserve">от 21.02.2014 </w:t>
            </w:r>
            <w:hyperlink w:history="0" r:id="rId11" w:tooltip="Постановление Губернатора ХМАО - Югры от 21.02.2014 N 18 (ред. от 03.10.2018) &quot;О внесении изменений в некоторые правовые акты Губернатора Ханты-Мансийского автономного округа - Югры и признании утратившим силу распоряжения Губернатора Ханты-Мансийского автономного округа - Югры от 3 июня 2004 года N 220-рг &quot;Об организации постоянного мониторинга общественно-политической и социально-экономической ситуации на территории Ханты-Мансийского автономного округа - Югры&quot; {КонсультантПлюс}">
              <w:r>
                <w:rPr>
                  <w:sz w:val="20"/>
                  <w:color w:val="0000ff"/>
                </w:rPr>
                <w:t xml:space="preserve">N 18</w:t>
              </w:r>
            </w:hyperlink>
            <w:r>
              <w:rPr>
                <w:sz w:val="20"/>
                <w:color w:val="392c69"/>
              </w:rPr>
              <w:t xml:space="preserve">, от 16.03.2016 </w:t>
            </w:r>
            <w:hyperlink w:history="0" r:id="rId12" w:tooltip="Постановление Губернатора ХМАО - Югры от 16.03.2016 N 28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в сфере социальной защиты населения Ханты-Мансийского автономного округа - Югры&quot; {КонсультантПлюс}">
              <w:r>
                <w:rPr>
                  <w:sz w:val="20"/>
                  <w:color w:val="0000ff"/>
                </w:rPr>
                <w:t xml:space="preserve">N 28</w:t>
              </w:r>
            </w:hyperlink>
            <w:r>
              <w:rPr>
                <w:sz w:val="20"/>
                <w:color w:val="392c69"/>
              </w:rPr>
              <w:t xml:space="preserve">, от 22.04.2016 </w:t>
            </w:r>
            <w:hyperlink w:history="0" r:id="rId13" w:tooltip="Постановление Губернатора ХМАО - Югры от 22.04.2016 N 42 &quot;О внесении изменений в приложения 1, 2 к постановлению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N 42</w:t>
              </w:r>
            </w:hyperlink>
            <w:r>
              <w:rPr>
                <w:sz w:val="20"/>
                <w:color w:val="392c69"/>
              </w:rPr>
              <w:t xml:space="preserve">,</w:t>
            </w:r>
          </w:p>
          <w:p>
            <w:pPr>
              <w:pStyle w:val="0"/>
              <w:jc w:val="center"/>
            </w:pPr>
            <w:r>
              <w:rPr>
                <w:sz w:val="20"/>
                <w:color w:val="392c69"/>
              </w:rPr>
              <w:t xml:space="preserve">от 30.10.2017 </w:t>
            </w:r>
            <w:hyperlink w:history="0" r:id="rId14" w:tooltip="Постановление Губернатора ХМАО - Югры от 30.10.2017 N 121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N 121</w:t>
              </w:r>
            </w:hyperlink>
            <w:r>
              <w:rPr>
                <w:sz w:val="20"/>
                <w:color w:val="392c69"/>
              </w:rPr>
              <w:t xml:space="preserve">, от 17.04.2019 </w:t>
            </w:r>
            <w:hyperlink w:history="0" r:id="rId15" w:tooltip="Постановление Губернатора ХМАО - Югры от 17.04.2019 N 23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N 23</w:t>
              </w:r>
            </w:hyperlink>
            <w:r>
              <w:rPr>
                <w:sz w:val="20"/>
                <w:color w:val="392c69"/>
              </w:rPr>
              <w:t xml:space="preserve">, от 26.10.2022 </w:t>
            </w:r>
            <w:hyperlink w:history="0" r:id="rId16" w:tooltip="Постановление Губернатора ХМАО - Югры от 26.10.2022 N 143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N 143</w:t>
              </w:r>
            </w:hyperlink>
            <w:r>
              <w:rPr>
                <w:sz w:val="20"/>
                <w:color w:val="392c69"/>
              </w:rPr>
              <w:t xml:space="preserve">,</w:t>
            </w:r>
          </w:p>
          <w:p>
            <w:pPr>
              <w:pStyle w:val="0"/>
              <w:jc w:val="center"/>
            </w:pPr>
            <w:r>
              <w:rPr>
                <w:sz w:val="20"/>
                <w:color w:val="392c69"/>
              </w:rPr>
              <w:t xml:space="preserve">от 24.08.2023 </w:t>
            </w:r>
            <w:hyperlink w:history="0" r:id="rId17" w:tooltip="Постановление Губернатора ХМАО - Югры от 24.08.2023 N 133 &quot;О внесении изменений в некоторые постановления Губернатора Ханты-Мансийского автономного округа - Югры&quot; {КонсультантПлюс}">
              <w:r>
                <w:rPr>
                  <w:sz w:val="20"/>
                  <w:color w:val="0000ff"/>
                </w:rPr>
                <w:t xml:space="preserve">N 133</w:t>
              </w:r>
            </w:hyperlink>
            <w:r>
              <w:rPr>
                <w:sz w:val="20"/>
                <w:color w:val="392c69"/>
              </w:rPr>
              <w:t xml:space="preserve">, от 01.03.2024 </w:t>
            </w:r>
            <w:hyperlink w:history="0" r:id="rId18"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N 24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Во исполнение </w:t>
      </w:r>
      <w:hyperlink w:history="0" r:id="rId19" w:tooltip="Распоряжение Губернатора ХМАО - Югры от 23.06.2004 N 246-рг &quot;О комплексном плане мероприятий исполнительных органов государственной власти Ханты-Мансийского автономного округа - Югры по реализации основных положений Послания Президента Российской Федерации Федеральному Собранию Российской Федерации в 2004 году&quot; {КонсультантПлюс}">
        <w:r>
          <w:rPr>
            <w:sz w:val="20"/>
            <w:color w:val="0000ff"/>
          </w:rPr>
          <w:t xml:space="preserve">распоряжения</w:t>
        </w:r>
      </w:hyperlink>
      <w:r>
        <w:rPr>
          <w:sz w:val="20"/>
        </w:rPr>
        <w:t xml:space="preserve"> Губернатора автономного округа от 23.06.2004 N 246-рг "О комплексном плане мероприятий исполнительных органов государственной власти Ханты-Мансийского автономного округа - Югры по реализации основных положений Послания Президента Российской Федерации Федеральному Собранию Российской Федерации в 2004 году":</w:t>
      </w:r>
    </w:p>
    <w:p>
      <w:pPr>
        <w:pStyle w:val="0"/>
        <w:spacing w:before="200" w:line-rule="auto"/>
        <w:ind w:firstLine="540"/>
        <w:jc w:val="both"/>
      </w:pPr>
      <w:r>
        <w:rPr>
          <w:sz w:val="20"/>
        </w:rPr>
        <w:t xml:space="preserve">1. Учредить конкурс социально значимых проектов и успешных гражданских практик "Премия "Признание" (далее - Конкурс).</w:t>
      </w:r>
    </w:p>
    <w:p>
      <w:pPr>
        <w:pStyle w:val="0"/>
        <w:jc w:val="both"/>
      </w:pPr>
      <w:r>
        <w:rPr>
          <w:sz w:val="20"/>
        </w:rPr>
        <w:t xml:space="preserve">(в ред. постановлений Губернатора ХМАО - Югры от 16.03.2016 </w:t>
      </w:r>
      <w:hyperlink w:history="0" r:id="rId20" w:tooltip="Постановление Губернатора ХМАО - Югры от 16.03.2016 N 28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в сфере социальной защиты населения Ханты-Мансийского автономного округа - Югры&quot; {КонсультантПлюс}">
        <w:r>
          <w:rPr>
            <w:sz w:val="20"/>
            <w:color w:val="0000ff"/>
          </w:rPr>
          <w:t xml:space="preserve">N 28</w:t>
        </w:r>
      </w:hyperlink>
      <w:r>
        <w:rPr>
          <w:sz w:val="20"/>
        </w:rPr>
        <w:t xml:space="preserve">, от 30.10.2017 </w:t>
      </w:r>
      <w:hyperlink w:history="0" r:id="rId21" w:tooltip="Постановление Губернатора ХМАО - Югры от 30.10.2017 N 121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N 121</w:t>
        </w:r>
      </w:hyperlink>
      <w:r>
        <w:rPr>
          <w:sz w:val="20"/>
        </w:rPr>
        <w:t xml:space="preserve">)</w:t>
      </w:r>
    </w:p>
    <w:p>
      <w:pPr>
        <w:pStyle w:val="0"/>
        <w:spacing w:before="200" w:line-rule="auto"/>
        <w:ind w:firstLine="540"/>
        <w:jc w:val="both"/>
      </w:pPr>
      <w:r>
        <w:rPr>
          <w:sz w:val="20"/>
        </w:rPr>
        <w:t xml:space="preserve">2. Утвердить </w:t>
      </w:r>
      <w:hyperlink w:history="0" w:anchor="P39" w:tooltip="ПОЛОЖЕНИЕ">
        <w:r>
          <w:rPr>
            <w:sz w:val="20"/>
            <w:color w:val="0000ff"/>
          </w:rPr>
          <w:t xml:space="preserve">Положение</w:t>
        </w:r>
      </w:hyperlink>
      <w:r>
        <w:rPr>
          <w:sz w:val="20"/>
        </w:rPr>
        <w:t xml:space="preserve"> о Конкурсе и </w:t>
      </w:r>
      <w:hyperlink w:history="0" w:anchor="P184" w:tooltip="СОСТАВ">
        <w:r>
          <w:rPr>
            <w:sz w:val="20"/>
            <w:color w:val="0000ff"/>
          </w:rPr>
          <w:t xml:space="preserve">состав</w:t>
        </w:r>
      </w:hyperlink>
      <w:r>
        <w:rPr>
          <w:sz w:val="20"/>
        </w:rPr>
        <w:t xml:space="preserve"> конкурсной комиссии (приложения 1, 2).</w:t>
      </w:r>
    </w:p>
    <w:p>
      <w:pPr>
        <w:pStyle w:val="0"/>
        <w:jc w:val="both"/>
      </w:pPr>
      <w:r>
        <w:rPr>
          <w:sz w:val="20"/>
        </w:rPr>
        <w:t xml:space="preserve">(п. 2 в ред. </w:t>
      </w:r>
      <w:hyperlink w:history="0" r:id="rId22" w:tooltip="Постановление Губернатора ХМАО - Югры от 16.03.2016 N 28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в сфере социальной защиты населения Ханты-Мансийского автономного округа - Югры&quot; {КонсультантПлюс}">
        <w:r>
          <w:rPr>
            <w:sz w:val="20"/>
            <w:color w:val="0000ff"/>
          </w:rPr>
          <w:t xml:space="preserve">постановления</w:t>
        </w:r>
      </w:hyperlink>
      <w:r>
        <w:rPr>
          <w:sz w:val="20"/>
        </w:rPr>
        <w:t xml:space="preserve"> Губернатора ХМАО - Югры от 16.03.2016 N 28)</w:t>
      </w:r>
    </w:p>
    <w:p>
      <w:pPr>
        <w:pStyle w:val="0"/>
        <w:spacing w:before="200" w:line-rule="auto"/>
        <w:ind w:firstLine="540"/>
        <w:jc w:val="both"/>
      </w:pPr>
      <w:r>
        <w:rPr>
          <w:sz w:val="20"/>
        </w:rPr>
        <w:t xml:space="preserve">3. Награждение победителей Конкурса проводить на торжественных церемониях, посвященных значимым событиям.</w:t>
      </w:r>
    </w:p>
    <w:p>
      <w:pPr>
        <w:pStyle w:val="0"/>
        <w:jc w:val="both"/>
      </w:pPr>
      <w:r>
        <w:rPr>
          <w:sz w:val="20"/>
        </w:rPr>
        <w:t xml:space="preserve">(в ред. постановлений Губернатора ХМАО - Югры от 30.10.2017 </w:t>
      </w:r>
      <w:hyperlink w:history="0" r:id="rId23" w:tooltip="Постановление Губернатора ХМАО - Югры от 30.10.2017 N 121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N 121</w:t>
        </w:r>
      </w:hyperlink>
      <w:r>
        <w:rPr>
          <w:sz w:val="20"/>
        </w:rPr>
        <w:t xml:space="preserve">, от 17.04.2019 </w:t>
      </w:r>
      <w:hyperlink w:history="0" r:id="rId24" w:tooltip="Постановление Губернатора ХМАО - Югры от 17.04.2019 N 23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N 23</w:t>
        </w:r>
      </w:hyperlink>
      <w:r>
        <w:rPr>
          <w:sz w:val="20"/>
        </w:rPr>
        <w:t xml:space="preserve">)</w:t>
      </w:r>
    </w:p>
    <w:p>
      <w:pPr>
        <w:pStyle w:val="0"/>
        <w:spacing w:before="200" w:line-rule="auto"/>
        <w:ind w:firstLine="540"/>
        <w:jc w:val="both"/>
      </w:pPr>
      <w:r>
        <w:rPr>
          <w:sz w:val="20"/>
        </w:rPr>
        <w:t xml:space="preserve">4 - 5. Утратили силу. - </w:t>
      </w:r>
      <w:hyperlink w:history="0" r:id="rId25" w:tooltip="Постановление Губернатора ХМАО - Югры от 16.03.2016 N 28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в сфере социальной защиты населения Ханты-Мансийского автономного округа - Югры&quot; {КонсультантПлюс}">
        <w:r>
          <w:rPr>
            <w:sz w:val="20"/>
            <w:color w:val="0000ff"/>
          </w:rPr>
          <w:t xml:space="preserve">Постановление</w:t>
        </w:r>
      </w:hyperlink>
      <w:r>
        <w:rPr>
          <w:sz w:val="20"/>
        </w:rPr>
        <w:t xml:space="preserve"> Губернатора ХМАО - Югры от 16.03.2016 N 28.</w:t>
      </w:r>
    </w:p>
    <w:p>
      <w:pPr>
        <w:pStyle w:val="0"/>
        <w:spacing w:before="200" w:line-rule="auto"/>
        <w:ind w:firstLine="540"/>
        <w:jc w:val="both"/>
      </w:pPr>
      <w:r>
        <w:rPr>
          <w:sz w:val="20"/>
        </w:rPr>
        <w:t xml:space="preserve">6. Утратил силу. - </w:t>
      </w:r>
      <w:hyperlink w:history="0" r:id="rId26" w:tooltip="Постановление Губернатора ХМАО - Югры от 27.07.2011 N 105 &quot;О внесении изменений в некоторые постановления Губернатора Ханты-Мансийского автономного округа - Югры&quot; {КонсультантПлюс}">
        <w:r>
          <w:rPr>
            <w:sz w:val="20"/>
            <w:color w:val="0000ff"/>
          </w:rPr>
          <w:t xml:space="preserve">Постановление</w:t>
        </w:r>
      </w:hyperlink>
      <w:r>
        <w:rPr>
          <w:sz w:val="20"/>
        </w:rPr>
        <w:t xml:space="preserve"> Губернатора ХМАО - Югры от 27.07.2011 N 105.</w:t>
      </w:r>
    </w:p>
    <w:p>
      <w:pPr>
        <w:pStyle w:val="0"/>
        <w:ind w:firstLine="540"/>
        <w:jc w:val="both"/>
      </w:pPr>
      <w:r>
        <w:rPr>
          <w:sz w:val="20"/>
        </w:rPr>
      </w:r>
    </w:p>
    <w:p>
      <w:pPr>
        <w:pStyle w:val="0"/>
        <w:jc w:val="right"/>
      </w:pPr>
      <w:r>
        <w:rPr>
          <w:sz w:val="20"/>
        </w:rPr>
        <w:t xml:space="preserve">Губернатор</w:t>
      </w:r>
    </w:p>
    <w:p>
      <w:pPr>
        <w:pStyle w:val="0"/>
        <w:jc w:val="right"/>
      </w:pPr>
      <w:r>
        <w:rPr>
          <w:sz w:val="20"/>
        </w:rPr>
        <w:t xml:space="preserve">автономного округа</w:t>
      </w:r>
    </w:p>
    <w:p>
      <w:pPr>
        <w:pStyle w:val="0"/>
        <w:jc w:val="right"/>
      </w:pPr>
      <w:r>
        <w:rPr>
          <w:sz w:val="20"/>
        </w:rPr>
        <w:t xml:space="preserve">А.В.ФИЛИПЕНКО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right"/>
      </w:pPr>
      <w:r>
        <w:rPr>
          <w:sz w:val="20"/>
        </w:rPr>
      </w:r>
    </w:p>
    <w:p>
      <w:pPr>
        <w:pStyle w:val="0"/>
        <w:outlineLvl w:val="0"/>
        <w:jc w:val="right"/>
      </w:pPr>
      <w:r>
        <w:rPr>
          <w:sz w:val="20"/>
        </w:rPr>
        <w:t xml:space="preserve">Приложение 1</w:t>
      </w:r>
    </w:p>
    <w:p>
      <w:pPr>
        <w:pStyle w:val="0"/>
        <w:jc w:val="right"/>
      </w:pPr>
      <w:r>
        <w:rPr>
          <w:sz w:val="20"/>
        </w:rPr>
        <w:t xml:space="preserve">к постановлению Губернатора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от 28 сентября 2004 года N 141</w:t>
      </w:r>
    </w:p>
    <w:p>
      <w:pPr>
        <w:pStyle w:val="0"/>
        <w:ind w:firstLine="540"/>
        <w:jc w:val="both"/>
      </w:pPr>
      <w:r>
        <w:rPr>
          <w:sz w:val="20"/>
        </w:rPr>
      </w:r>
    </w:p>
    <w:bookmarkStart w:id="39" w:name="P39"/>
    <w:bookmarkEnd w:id="39"/>
    <w:p>
      <w:pPr>
        <w:pStyle w:val="2"/>
        <w:jc w:val="center"/>
      </w:pPr>
      <w:r>
        <w:rPr>
          <w:sz w:val="20"/>
        </w:rPr>
        <w:t xml:space="preserve">ПОЛОЖЕНИЕ</w:t>
      </w:r>
    </w:p>
    <w:p>
      <w:pPr>
        <w:pStyle w:val="2"/>
        <w:jc w:val="center"/>
      </w:pPr>
      <w:r>
        <w:rPr>
          <w:sz w:val="20"/>
        </w:rPr>
        <w:t xml:space="preserve">О КОНКУРСЕ СОЦИАЛЬНО ЗНАЧИМЫХ ПРОЕКТОВ И УСПЕШНЫХ</w:t>
      </w:r>
    </w:p>
    <w:p>
      <w:pPr>
        <w:pStyle w:val="2"/>
        <w:jc w:val="center"/>
      </w:pPr>
      <w:r>
        <w:rPr>
          <w:sz w:val="20"/>
        </w:rPr>
        <w:t xml:space="preserve">ГРАЖДАНСКИХ ПРАКТИК "ПРЕМИЯ "ПРИЗНАНИЕ" (ДАЛЕЕ - ПОЛОЖЕНИЕ)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ХМАО - Югры от 26.10.2022 </w:t>
            </w:r>
            <w:hyperlink w:history="0" r:id="rId27" w:tooltip="Постановление Губернатора ХМАО - Югры от 26.10.2022 N 143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N 143</w:t>
              </w:r>
            </w:hyperlink>
            <w:r>
              <w:rPr>
                <w:sz w:val="20"/>
                <w:color w:val="392c69"/>
              </w:rPr>
              <w:t xml:space="preserve">,</w:t>
            </w:r>
          </w:p>
          <w:p>
            <w:pPr>
              <w:pStyle w:val="0"/>
              <w:jc w:val="center"/>
            </w:pPr>
            <w:r>
              <w:rPr>
                <w:sz w:val="20"/>
                <w:color w:val="392c69"/>
              </w:rPr>
              <w:t xml:space="preserve">от 24.08.2023 </w:t>
            </w:r>
            <w:hyperlink w:history="0" r:id="rId28" w:tooltip="Постановление Губернатора ХМАО - Югры от 24.08.2023 N 133 &quot;О внесении изменений в некоторые постановления Губернатора Ханты-Мансийского автономного округа - Югры&quot; {КонсультантПлюс}">
              <w:r>
                <w:rPr>
                  <w:sz w:val="20"/>
                  <w:color w:val="0000ff"/>
                </w:rPr>
                <w:t xml:space="preserve">N 133</w:t>
              </w:r>
            </w:hyperlink>
            <w:r>
              <w:rPr>
                <w:sz w:val="20"/>
                <w:color w:val="392c69"/>
              </w:rPr>
              <w:t xml:space="preserve">, от 01.03.2024 </w:t>
            </w:r>
            <w:hyperlink w:history="0" r:id="rId29"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N 24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Раздел I. ОБЩИЕ ПОЛОЖЕНИЯ</w:t>
      </w:r>
    </w:p>
    <w:p>
      <w:pPr>
        <w:pStyle w:val="0"/>
        <w:ind w:firstLine="540"/>
        <w:jc w:val="both"/>
      </w:pPr>
      <w:r>
        <w:rPr>
          <w:sz w:val="20"/>
        </w:rPr>
      </w:r>
    </w:p>
    <w:p>
      <w:pPr>
        <w:pStyle w:val="0"/>
        <w:ind w:firstLine="540"/>
        <w:jc w:val="both"/>
      </w:pPr>
      <w:r>
        <w:rPr>
          <w:sz w:val="20"/>
        </w:rPr>
        <w:t xml:space="preserve">1.1. Положение определяет порядок организации и проведения Конкурса социально значимых проектов и успешных гражданских практик "Премия "Признание" (далее - Конкурс).</w:t>
      </w:r>
    </w:p>
    <w:bookmarkStart w:id="49" w:name="P49"/>
    <w:bookmarkEnd w:id="49"/>
    <w:p>
      <w:pPr>
        <w:pStyle w:val="0"/>
        <w:spacing w:before="200" w:line-rule="auto"/>
        <w:ind w:firstLine="540"/>
        <w:jc w:val="both"/>
      </w:pPr>
      <w:r>
        <w:rPr>
          <w:sz w:val="20"/>
        </w:rPr>
        <w:t xml:space="preserve">1.2. Конкурс проводится в Ханты-Мансийском автономном округе - Югре (далее - автономный округ) в целях поддержки успешных гражданских практик и социально значимых проектов, направленных на улучшение жизни общества, популяризации идей милосердия и гуманизма, правового просвещения граждан, территориального общественного самоуправления, доведения до широкой общественности примеров отваги и мужества, проявленных при спасении людей, привлечения граждан к благотворительной и добровольческой (волонтерской) деятельности, их стимулирования к участию в реализации национальных целей развития Российской Федерации, осуществлении общественного контроля предоставления государственных и муниципальных услуг, продвижении общественных инициатив.</w:t>
      </w:r>
    </w:p>
    <w:p>
      <w:pPr>
        <w:pStyle w:val="0"/>
        <w:spacing w:before="200" w:line-rule="auto"/>
        <w:ind w:firstLine="540"/>
        <w:jc w:val="both"/>
      </w:pPr>
      <w:r>
        <w:rPr>
          <w:sz w:val="20"/>
        </w:rPr>
        <w:t xml:space="preserve">1.3. Организатором Конкурса является Департамент молодежной политики, гражданских инициатив и внешних связей автономного округа (далее - организатор Конкурса).</w:t>
      </w:r>
    </w:p>
    <w:p>
      <w:pPr>
        <w:pStyle w:val="0"/>
        <w:jc w:val="both"/>
      </w:pPr>
      <w:r>
        <w:rPr>
          <w:sz w:val="20"/>
        </w:rPr>
        <w:t xml:space="preserve">(в ред. </w:t>
      </w:r>
      <w:hyperlink w:history="0" r:id="rId30" w:tooltip="Постановление Губернатора ХМАО - Югры от 24.08.2023 N 133 &quot;О внесении изменений в некоторые постановления Губернатора Ханты-Мансийского автономного округа - Югры&quot; {КонсультантПлюс}">
        <w:r>
          <w:rPr>
            <w:sz w:val="20"/>
            <w:color w:val="0000ff"/>
          </w:rPr>
          <w:t xml:space="preserve">постановления</w:t>
        </w:r>
      </w:hyperlink>
      <w:r>
        <w:rPr>
          <w:sz w:val="20"/>
        </w:rPr>
        <w:t xml:space="preserve"> Губернатора ХМАО - Югры от 24.08.2023 N 133)</w:t>
      </w:r>
    </w:p>
    <w:p>
      <w:pPr>
        <w:pStyle w:val="0"/>
        <w:spacing w:before="200" w:line-rule="auto"/>
        <w:ind w:firstLine="540"/>
        <w:jc w:val="both"/>
      </w:pPr>
      <w:r>
        <w:rPr>
          <w:sz w:val="20"/>
        </w:rPr>
        <w:t xml:space="preserve">1.4. Оператором Конкурса является Фонд "Центр гражданских и социальных инициатив Югры" (далее - оператор Конкурса).</w:t>
      </w:r>
    </w:p>
    <w:p>
      <w:pPr>
        <w:pStyle w:val="0"/>
        <w:spacing w:before="200" w:line-rule="auto"/>
        <w:ind w:firstLine="540"/>
        <w:jc w:val="both"/>
      </w:pPr>
      <w:r>
        <w:rPr>
          <w:sz w:val="20"/>
        </w:rPr>
        <w:t xml:space="preserve">1.5. В Конкурсе участвуют граждане и негосударственные некоммерческие организации, реализующие в автономном округе гражданские практики, благотворительные и социально значимые проекты, в том числе участвующие в благотворительной деятельности (далее - участники Конкурса).</w:t>
      </w:r>
    </w:p>
    <w:p>
      <w:pPr>
        <w:pStyle w:val="0"/>
        <w:spacing w:before="200" w:line-rule="auto"/>
        <w:ind w:firstLine="540"/>
        <w:jc w:val="both"/>
      </w:pPr>
      <w:r>
        <w:rPr>
          <w:sz w:val="20"/>
        </w:rPr>
        <w:t xml:space="preserve">1.6. Субъектами ходатайства в отношении участников конкурса, которых они выдвигают для участия в Конкурсе, являются Общественная палата автономного округа, общественные советы при исполнительных органах автономного округа, общественные палаты муниципальных образований автономного округа, общественные советы, созданные при органах местного самоуправления, государственные учреждения автономного округа, территориальные общественные самоуправления, общественные организации автономного округа, экспертный совет по предоставлению грантов Губернатора автономного округа на развитие гражданского общества, утвержденный в соответствии с </w:t>
      </w:r>
      <w:hyperlink w:history="0" r:id="rId31" w:tooltip="Постановление Губернатора ХМАО - Югры от 31.10.2018 N 108 (ред. от 24.04.2024) &quot;О грантах Губернатора Ханты-Мансийского автономного округа - Югры на развитие гражданского общества&quot; {КонсультантПлюс}">
        <w:r>
          <w:rPr>
            <w:sz w:val="20"/>
            <w:color w:val="0000ff"/>
          </w:rPr>
          <w:t xml:space="preserve">постановлением</w:t>
        </w:r>
      </w:hyperlink>
      <w:r>
        <w:rPr>
          <w:sz w:val="20"/>
        </w:rPr>
        <w:t xml:space="preserve"> Губернатора автономного округа от 31 октября 2018 года N 108 "О грантах Губернатора Ханты-Мансийского автономного округа - Югры на развитие гражданского общества и реализацию проектов в области культуры, искусства и креативных индустрий" (далее - субъекты ходатайства).</w:t>
      </w:r>
    </w:p>
    <w:p>
      <w:pPr>
        <w:pStyle w:val="0"/>
        <w:jc w:val="both"/>
      </w:pPr>
      <w:r>
        <w:rPr>
          <w:sz w:val="20"/>
        </w:rPr>
        <w:t xml:space="preserve">(в ред. </w:t>
      </w:r>
      <w:hyperlink w:history="0" r:id="rId32"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1.7. Конкурс проводится в электронной форме на информационном сервисе "Единый Личный Кабинет Активиста" в информационно-телекоммуникационной сети Интернет по адресу: www.elkanko.ru (далее - информационный сервис).</w:t>
      </w:r>
    </w:p>
    <w:p>
      <w:pPr>
        <w:pStyle w:val="0"/>
        <w:jc w:val="both"/>
      </w:pPr>
      <w:r>
        <w:rPr>
          <w:sz w:val="20"/>
        </w:rPr>
        <w:t xml:space="preserve">(в ред. </w:t>
      </w:r>
      <w:hyperlink w:history="0" r:id="rId33"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1.8. Участникам Конкурса, признанным победителями, присуждается денежная премия в размере 80 000 рублей каждому по номинациям.</w:t>
      </w:r>
    </w:p>
    <w:p>
      <w:pPr>
        <w:pStyle w:val="0"/>
        <w:spacing w:before="200" w:line-rule="auto"/>
        <w:ind w:firstLine="540"/>
        <w:jc w:val="both"/>
      </w:pPr>
      <w:r>
        <w:rPr>
          <w:sz w:val="20"/>
        </w:rPr>
        <w:t xml:space="preserve">1.9. Для проведения Конкурса организатор Конкурса создает конкурсную комиссию и экспертные группы для проведения независимой оценки заявок, допущенных на Конкурс (далее - Экспертные группы).</w:t>
      </w:r>
    </w:p>
    <w:p>
      <w:pPr>
        <w:pStyle w:val="0"/>
        <w:jc w:val="both"/>
      </w:pPr>
      <w:r>
        <w:rPr>
          <w:sz w:val="20"/>
        </w:rPr>
        <w:t xml:space="preserve">(в ред. </w:t>
      </w:r>
      <w:hyperlink w:history="0" r:id="rId34"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Экспертные группы состоят не менее чем из 3 человек в каждой номинации, в них входят представители органов государственной власти автономного округа, Общественной палаты автономного округа, общественных и добровольческих (волонтерских) объединений по согласованию с ними.</w:t>
      </w:r>
    </w:p>
    <w:p>
      <w:pPr>
        <w:pStyle w:val="0"/>
        <w:jc w:val="both"/>
      </w:pPr>
      <w:r>
        <w:rPr>
          <w:sz w:val="20"/>
        </w:rPr>
        <w:t xml:space="preserve">(абзац введен </w:t>
      </w:r>
      <w:hyperlink w:history="0" r:id="rId35"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постановлением</w:t>
        </w:r>
      </w:hyperlink>
      <w:r>
        <w:rPr>
          <w:sz w:val="20"/>
        </w:rPr>
        <w:t xml:space="preserve"> Губернатора ХМАО - Югры от 01.03.2024 N 24)</w:t>
      </w:r>
    </w:p>
    <w:p>
      <w:pPr>
        <w:pStyle w:val="0"/>
        <w:spacing w:before="200" w:line-rule="auto"/>
        <w:ind w:firstLine="540"/>
        <w:jc w:val="both"/>
      </w:pPr>
      <w:r>
        <w:rPr>
          <w:sz w:val="20"/>
        </w:rPr>
        <w:t xml:space="preserve">1.10. Конкурс проводится за счет средств, предусмотренных государственной </w:t>
      </w:r>
      <w:hyperlink w:history="0" r:id="rId36" w:tooltip="Постановление Правительства ХМАО - Югры от 10.11.2023 N 546-п (ред. от 01.03.2024) &quot;О государственной программе Ханты-Мансийского автономного округа - Югры &quot;Развитие гражданского общества&quot; {КонсультантПлюс}">
        <w:r>
          <w:rPr>
            <w:sz w:val="20"/>
            <w:color w:val="0000ff"/>
          </w:rPr>
          <w:t xml:space="preserve">программой</w:t>
        </w:r>
      </w:hyperlink>
      <w:r>
        <w:rPr>
          <w:sz w:val="20"/>
        </w:rPr>
        <w:t xml:space="preserve"> автономного округа "Развитие гражданского общества", утвержденной постановлением Правительства автономного округа от 10 ноября 2023 года N 546-п.</w:t>
      </w:r>
    </w:p>
    <w:p>
      <w:pPr>
        <w:pStyle w:val="0"/>
        <w:jc w:val="both"/>
      </w:pPr>
      <w:r>
        <w:rPr>
          <w:sz w:val="20"/>
        </w:rPr>
        <w:t xml:space="preserve">(в ред. </w:t>
      </w:r>
      <w:hyperlink w:history="0" r:id="rId37"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ind w:firstLine="540"/>
        <w:jc w:val="both"/>
      </w:pPr>
      <w:r>
        <w:rPr>
          <w:sz w:val="20"/>
        </w:rPr>
      </w:r>
    </w:p>
    <w:p>
      <w:pPr>
        <w:pStyle w:val="2"/>
        <w:outlineLvl w:val="1"/>
        <w:jc w:val="center"/>
      </w:pPr>
      <w:r>
        <w:rPr>
          <w:sz w:val="20"/>
        </w:rPr>
        <w:t xml:space="preserve">Раздел II. НОМИНАЦИИ КОНКУРСА</w:t>
      </w:r>
    </w:p>
    <w:p>
      <w:pPr>
        <w:pStyle w:val="0"/>
        <w:ind w:firstLine="540"/>
        <w:jc w:val="both"/>
      </w:pPr>
      <w:r>
        <w:rPr>
          <w:sz w:val="20"/>
        </w:rPr>
      </w:r>
    </w:p>
    <w:p>
      <w:pPr>
        <w:pStyle w:val="0"/>
        <w:ind w:firstLine="540"/>
        <w:jc w:val="both"/>
      </w:pPr>
      <w:r>
        <w:rPr>
          <w:sz w:val="20"/>
        </w:rPr>
        <w:t xml:space="preserve">2.1. Конкурс проводится по следующим номинациям:</w:t>
      </w:r>
    </w:p>
    <w:p>
      <w:pPr>
        <w:pStyle w:val="0"/>
        <w:spacing w:before="200" w:line-rule="auto"/>
        <w:ind w:firstLine="540"/>
        <w:jc w:val="both"/>
      </w:pPr>
      <w:r>
        <w:rPr>
          <w:sz w:val="20"/>
        </w:rPr>
        <w:t xml:space="preserve">"Милосердие без границ" - для граждан, реализующих социально значимые проекты по поддержке пожилых людей, лиц с ограниченными возможностями здоровья, детей-сирот и детей, оставшихся без попечения родителей, а также граждан, совершивших героические и мужественные поступки, преодолевших трудные жизненные ситуации;</w:t>
      </w:r>
    </w:p>
    <w:p>
      <w:pPr>
        <w:pStyle w:val="0"/>
        <w:spacing w:before="200" w:line-rule="auto"/>
        <w:ind w:firstLine="540"/>
        <w:jc w:val="both"/>
      </w:pPr>
      <w:r>
        <w:rPr>
          <w:sz w:val="20"/>
        </w:rPr>
        <w:t xml:space="preserve">"Доброволец года" - для граждан, реализующих социально значимые проекты в автономном округе в сфере благотворительности и (или) участвующих в их создании;</w:t>
      </w:r>
    </w:p>
    <w:p>
      <w:pPr>
        <w:pStyle w:val="0"/>
        <w:jc w:val="both"/>
      </w:pPr>
      <w:r>
        <w:rPr>
          <w:sz w:val="20"/>
        </w:rPr>
        <w:t xml:space="preserve">(в ред. </w:t>
      </w:r>
      <w:hyperlink w:history="0" r:id="rId38"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"Социальная звезда" - для негосударственных некоммерческих организаций, реализующих социально значимые проекты в автономном округе в сфере благотворительности и (или) участвующих в их проектировании;</w:t>
      </w:r>
    </w:p>
    <w:p>
      <w:pPr>
        <w:pStyle w:val="0"/>
        <w:jc w:val="both"/>
      </w:pPr>
      <w:r>
        <w:rPr>
          <w:sz w:val="20"/>
        </w:rPr>
        <w:t xml:space="preserve">(в ред. </w:t>
      </w:r>
      <w:hyperlink w:history="0" r:id="rId39"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"Организатор добрых дел" - для граждан и негосударственных некоммерческих организаций, являющихся организаторами добровольческой (волонтерской) деятельности и реализующих социально значимые проекты в сфере добровольческой (волонтерской) деятельности;</w:t>
      </w:r>
    </w:p>
    <w:p>
      <w:pPr>
        <w:pStyle w:val="0"/>
        <w:jc w:val="both"/>
      </w:pPr>
      <w:r>
        <w:rPr>
          <w:sz w:val="20"/>
        </w:rPr>
        <w:t xml:space="preserve">(в ред. </w:t>
      </w:r>
      <w:hyperlink w:history="0" r:id="rId40"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"Достояние Югры" - для граждан и негосударственных некоммерческих организаций, получивших общественное, экспертное признание их социально значимых проектов на мероприятиях международного или федерального уровней и повлиявших на формирование положительного отношения общественности автономного округа к этой деятельности;</w:t>
      </w:r>
    </w:p>
    <w:p>
      <w:pPr>
        <w:pStyle w:val="0"/>
        <w:spacing w:before="200" w:line-rule="auto"/>
        <w:ind w:firstLine="540"/>
        <w:jc w:val="both"/>
      </w:pPr>
      <w:r>
        <w:rPr>
          <w:sz w:val="20"/>
        </w:rPr>
        <w:t xml:space="preserve">"Лучший международный проект" - для граждан и негосударственных некоммерческих организаций, реализующих социально значимые проекты на международном уровне либо привлекающих к их реализации международные организации;</w:t>
      </w:r>
    </w:p>
    <w:p>
      <w:pPr>
        <w:pStyle w:val="0"/>
        <w:spacing w:before="200" w:line-rule="auto"/>
        <w:ind w:firstLine="540"/>
        <w:jc w:val="both"/>
      </w:pPr>
      <w:r>
        <w:rPr>
          <w:sz w:val="20"/>
        </w:rPr>
        <w:t xml:space="preserve">"Защитник окружающей среды" - для граждан и негосударственных некоммерческих организаций, реализующих социально значимые проекты в сфере охраны окружающей среды и защиты животных;</w:t>
      </w:r>
    </w:p>
    <w:p>
      <w:pPr>
        <w:pStyle w:val="0"/>
        <w:spacing w:before="200" w:line-rule="auto"/>
        <w:ind w:firstLine="540"/>
        <w:jc w:val="both"/>
      </w:pPr>
      <w:r>
        <w:rPr>
          <w:sz w:val="20"/>
        </w:rPr>
        <w:t xml:space="preserve">"Лидер территориального развития" - для негосударственных некоммерческих организаций, в том числе территориальных общественных самоуправлений, товариществ собственников жилья и граждан, осуществляющих деятельность в муниципальном образовании автономного округа по созданию комфортной городской среды, эффективного социального партнерства власти и населения;</w:t>
      </w:r>
    </w:p>
    <w:p>
      <w:pPr>
        <w:pStyle w:val="0"/>
        <w:jc w:val="both"/>
      </w:pPr>
      <w:r>
        <w:rPr>
          <w:sz w:val="20"/>
        </w:rPr>
        <w:t xml:space="preserve">(в ред. </w:t>
      </w:r>
      <w:hyperlink w:history="0" r:id="rId41"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"Правозащитная деятельность, правовое просвещение и воспитание" - для граждан, негосударственных некоммерческих организаций, включая юридических лиц, оказывающих бесплатную правовую, юридическую помощь населению, в том числе в виде правового информирования, и представляющих (защищающих) законные интересы различных категории граждан, профессиональных и добровольческих (волонтерских) объединений и организаций.</w:t>
      </w:r>
    </w:p>
    <w:p>
      <w:pPr>
        <w:pStyle w:val="0"/>
        <w:ind w:firstLine="540"/>
        <w:jc w:val="both"/>
      </w:pPr>
      <w:r>
        <w:rPr>
          <w:sz w:val="20"/>
        </w:rPr>
      </w:r>
    </w:p>
    <w:p>
      <w:pPr>
        <w:pStyle w:val="2"/>
        <w:outlineLvl w:val="1"/>
        <w:jc w:val="center"/>
      </w:pPr>
      <w:r>
        <w:rPr>
          <w:sz w:val="20"/>
        </w:rPr>
        <w:t xml:space="preserve">Раздел III. ПОРЯДОК ПРОВЕДЕНИЯ КОНКУРСА</w:t>
      </w:r>
    </w:p>
    <w:p>
      <w:pPr>
        <w:pStyle w:val="0"/>
        <w:jc w:val="center"/>
      </w:pPr>
      <w:r>
        <w:rPr>
          <w:sz w:val="20"/>
        </w:rPr>
      </w:r>
    </w:p>
    <w:bookmarkStart w:id="85" w:name="P85"/>
    <w:bookmarkEnd w:id="85"/>
    <w:p>
      <w:pPr>
        <w:pStyle w:val="0"/>
        <w:ind w:firstLine="540"/>
        <w:jc w:val="both"/>
      </w:pPr>
      <w:r>
        <w:rPr>
          <w:sz w:val="20"/>
        </w:rPr>
        <w:t xml:space="preserve">3.1. Организатор Конкурса ежегодно издает приказ о его проведении, который содержит:</w:t>
      </w:r>
    </w:p>
    <w:p>
      <w:pPr>
        <w:pStyle w:val="0"/>
        <w:spacing w:before="200" w:line-rule="auto"/>
        <w:ind w:firstLine="540"/>
        <w:jc w:val="both"/>
      </w:pPr>
      <w:r>
        <w:rPr>
          <w:sz w:val="20"/>
        </w:rPr>
        <w:t xml:space="preserve">форму заявки с указанием сведений, которую участник Конкурса заполняет на информационном сервисе;</w:t>
      </w:r>
    </w:p>
    <w:p>
      <w:pPr>
        <w:pStyle w:val="0"/>
        <w:jc w:val="both"/>
      </w:pPr>
      <w:r>
        <w:rPr>
          <w:sz w:val="20"/>
        </w:rPr>
        <w:t xml:space="preserve">(в ред. </w:t>
      </w:r>
      <w:hyperlink w:history="0" r:id="rId42"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абзац утратил силу. - </w:t>
      </w:r>
      <w:hyperlink w:history="0" r:id="rId43"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Постановление</w:t>
        </w:r>
      </w:hyperlink>
      <w:r>
        <w:rPr>
          <w:sz w:val="20"/>
        </w:rPr>
        <w:t xml:space="preserve"> Губернатора ХМАО - Югры от 01.03.2024 N 24;</w:t>
      </w:r>
    </w:p>
    <w:p>
      <w:pPr>
        <w:pStyle w:val="0"/>
        <w:spacing w:before="200" w:line-rule="auto"/>
        <w:ind w:firstLine="540"/>
        <w:jc w:val="both"/>
      </w:pPr>
      <w:r>
        <w:rPr>
          <w:sz w:val="20"/>
        </w:rPr>
        <w:t xml:space="preserve">форму итогового рейтингового листа;</w:t>
      </w:r>
    </w:p>
    <w:p>
      <w:pPr>
        <w:pStyle w:val="0"/>
        <w:jc w:val="both"/>
      </w:pPr>
      <w:r>
        <w:rPr>
          <w:sz w:val="20"/>
        </w:rPr>
        <w:t xml:space="preserve">(в ред. </w:t>
      </w:r>
      <w:hyperlink w:history="0" r:id="rId44"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срок и время приема заявок;</w:t>
      </w:r>
    </w:p>
    <w:p>
      <w:pPr>
        <w:pStyle w:val="0"/>
        <w:spacing w:before="200" w:line-rule="auto"/>
        <w:ind w:firstLine="540"/>
        <w:jc w:val="both"/>
      </w:pPr>
      <w:r>
        <w:rPr>
          <w:sz w:val="20"/>
        </w:rPr>
        <w:t xml:space="preserve">абзац утратил силу. - </w:t>
      </w:r>
      <w:hyperlink w:history="0" r:id="rId45"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Постановление</w:t>
        </w:r>
      </w:hyperlink>
      <w:r>
        <w:rPr>
          <w:sz w:val="20"/>
        </w:rPr>
        <w:t xml:space="preserve"> Губернатора ХМАО - Югры от 01.03.2024 N 24;</w:t>
      </w:r>
    </w:p>
    <w:p>
      <w:pPr>
        <w:pStyle w:val="0"/>
        <w:spacing w:before="200" w:line-rule="auto"/>
        <w:ind w:firstLine="540"/>
        <w:jc w:val="both"/>
      </w:pPr>
      <w:r>
        <w:rPr>
          <w:sz w:val="20"/>
        </w:rPr>
        <w:t xml:space="preserve">срок проведения открытого онлайн-голосования на информационном сервисе (далее - онлайн-голосование) в отношении допущенных к участию в Конкурсе заявок;</w:t>
      </w:r>
    </w:p>
    <w:p>
      <w:pPr>
        <w:pStyle w:val="0"/>
        <w:jc w:val="both"/>
      </w:pPr>
      <w:r>
        <w:rPr>
          <w:sz w:val="20"/>
        </w:rPr>
        <w:t xml:space="preserve">(в ред. </w:t>
      </w:r>
      <w:hyperlink w:history="0" r:id="rId46"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перечень критериев оценки заявок;</w:t>
      </w:r>
    </w:p>
    <w:p>
      <w:pPr>
        <w:pStyle w:val="0"/>
        <w:spacing w:before="200" w:line-rule="auto"/>
        <w:ind w:firstLine="540"/>
        <w:jc w:val="both"/>
      </w:pPr>
      <w:r>
        <w:rPr>
          <w:sz w:val="20"/>
        </w:rPr>
        <w:t xml:space="preserve">срок итоговой оценки заявок;</w:t>
      </w:r>
    </w:p>
    <w:p>
      <w:pPr>
        <w:pStyle w:val="0"/>
        <w:spacing w:before="200" w:line-rule="auto"/>
        <w:ind w:firstLine="540"/>
        <w:jc w:val="both"/>
      </w:pPr>
      <w:r>
        <w:rPr>
          <w:sz w:val="20"/>
        </w:rPr>
        <w:t xml:space="preserve">персональный состав Экспертных групп по каждой номинации.</w:t>
      </w:r>
    </w:p>
    <w:p>
      <w:pPr>
        <w:pStyle w:val="0"/>
        <w:jc w:val="both"/>
      </w:pPr>
      <w:r>
        <w:rPr>
          <w:sz w:val="20"/>
        </w:rPr>
        <w:t xml:space="preserve">(абзац введен </w:t>
      </w:r>
      <w:hyperlink w:history="0" r:id="rId47"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постановлением</w:t>
        </w:r>
      </w:hyperlink>
      <w:r>
        <w:rPr>
          <w:sz w:val="20"/>
        </w:rPr>
        <w:t xml:space="preserve"> Губернатора ХМАО - Югры от 01.03.2024 N 24)</w:t>
      </w:r>
    </w:p>
    <w:bookmarkStart w:id="99" w:name="P99"/>
    <w:bookmarkEnd w:id="99"/>
    <w:p>
      <w:pPr>
        <w:pStyle w:val="0"/>
        <w:spacing w:before="200" w:line-rule="auto"/>
        <w:ind w:firstLine="540"/>
        <w:jc w:val="both"/>
      </w:pPr>
      <w:r>
        <w:rPr>
          <w:sz w:val="20"/>
        </w:rPr>
        <w:t xml:space="preserve">3.2. Для участия в Конкурсе его участники и субъекты ходатайства должны пройти регистрацию на информационном сервисе и представить в личном кабинете информационного сервиса заявку на русском языке, включающую информацию об успешной гражданской практике и (или) социально значимом проекте, в соответствии с направлениями, указанными в </w:t>
      </w:r>
      <w:hyperlink w:history="0" w:anchor="P49" w:tooltip="1.2. Конкурс проводится в Ханты-Мансийском автономном округе - Югре (далее - автономный округ) в целях поддержки успешных гражданских практик и социально значимых проектов, направленных на улучшение жизни общества, популяризации идей милосердия и гуманизма, правового просвещения граждан, территориального общественного самоуправления, доведения до широкой общественности примеров отваги и мужества, проявленных при спасении людей, привлечения граждан к благотворительной и добровольческой (волонтерской) деят...">
        <w:r>
          <w:rPr>
            <w:sz w:val="20"/>
            <w:color w:val="0000ff"/>
          </w:rPr>
          <w:t xml:space="preserve">пункте 1.2</w:t>
        </w:r>
      </w:hyperlink>
      <w:r>
        <w:rPr>
          <w:sz w:val="20"/>
        </w:rPr>
        <w:t xml:space="preserve"> Положения, по форме, утвержденной приказом организатора Конкурса (далее - заявка).</w:t>
      </w:r>
    </w:p>
    <w:p>
      <w:pPr>
        <w:pStyle w:val="0"/>
        <w:jc w:val="both"/>
      </w:pPr>
      <w:r>
        <w:rPr>
          <w:sz w:val="20"/>
        </w:rPr>
        <w:t xml:space="preserve">(в ред. </w:t>
      </w:r>
      <w:hyperlink w:history="0" r:id="rId48"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Субъект ходатайства представляет заявку при наличии письменного согласия потенциального участника Конкурса и протокола решения о его выдвижении для участия в Конкурсе.</w:t>
      </w:r>
    </w:p>
    <w:p>
      <w:pPr>
        <w:pStyle w:val="0"/>
        <w:spacing w:before="200" w:line-rule="auto"/>
        <w:ind w:firstLine="540"/>
        <w:jc w:val="both"/>
      </w:pPr>
      <w:r>
        <w:rPr>
          <w:sz w:val="20"/>
        </w:rPr>
        <w:t xml:space="preserve">Указанные в заявке успешная гражданская практика и (или) социально значимый проект на момент подачи для участия в Конкурсе должны быть реализованы, но не более чем за 3 года до подачи заявки или реализуются не менее 1 года.</w:t>
      </w:r>
    </w:p>
    <w:p>
      <w:pPr>
        <w:pStyle w:val="0"/>
        <w:jc w:val="both"/>
      </w:pPr>
      <w:r>
        <w:rPr>
          <w:sz w:val="20"/>
        </w:rPr>
        <w:t xml:space="preserve">(абзац введен </w:t>
      </w:r>
      <w:hyperlink w:history="0" r:id="rId49"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постановлением</w:t>
        </w:r>
      </w:hyperlink>
      <w:r>
        <w:rPr>
          <w:sz w:val="20"/>
        </w:rPr>
        <w:t xml:space="preserve"> Губернатора ХМАО - Югры от 01.03.2024 N 24)</w:t>
      </w:r>
    </w:p>
    <w:p>
      <w:pPr>
        <w:pStyle w:val="0"/>
        <w:spacing w:before="200" w:line-rule="auto"/>
        <w:ind w:firstLine="540"/>
        <w:jc w:val="both"/>
      </w:pPr>
      <w:r>
        <w:rPr>
          <w:sz w:val="20"/>
        </w:rPr>
        <w:t xml:space="preserve">3.3. В течение 3 рабочих дней со дня издания приказа, указанного в </w:t>
      </w:r>
      <w:hyperlink w:history="0" w:anchor="P85" w:tooltip="3.1. Организатор Конкурса ежегодно издает приказ о его проведении, который содержит:">
        <w:r>
          <w:rPr>
            <w:sz w:val="20"/>
            <w:color w:val="0000ff"/>
          </w:rPr>
          <w:t xml:space="preserve">пункте 3.1</w:t>
        </w:r>
      </w:hyperlink>
      <w:r>
        <w:rPr>
          <w:sz w:val="20"/>
        </w:rPr>
        <w:t xml:space="preserve"> Положения, организатор Конкурса размещает его и объявление о проведении Конкурса на своем официальном сайте в информационно-телекоммуникационной сети Интернет по адресу: </w:t>
      </w:r>
      <w:r>
        <w:rPr>
          <w:sz w:val="20"/>
        </w:rPr>
        <w:t xml:space="preserve">www.depos.admhmao.ru</w:t>
      </w:r>
      <w:r>
        <w:rPr>
          <w:sz w:val="20"/>
        </w:rPr>
        <w:t xml:space="preserve"> (далее - официальный сайт), а оператор Конкурса - на информационном сервисе.</w:t>
      </w:r>
    </w:p>
    <w:p>
      <w:pPr>
        <w:pStyle w:val="0"/>
        <w:jc w:val="both"/>
      </w:pPr>
      <w:r>
        <w:rPr>
          <w:sz w:val="20"/>
        </w:rPr>
        <w:t xml:space="preserve">(п. 3.3 в ред. </w:t>
      </w:r>
      <w:hyperlink w:history="0" r:id="rId50"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3.4. Участники Конкурса и субъекты ходатайства:</w:t>
      </w:r>
    </w:p>
    <w:p>
      <w:pPr>
        <w:pStyle w:val="0"/>
        <w:spacing w:before="200" w:line-rule="auto"/>
        <w:ind w:firstLine="540"/>
        <w:jc w:val="both"/>
      </w:pPr>
      <w:r>
        <w:rPr>
          <w:sz w:val="20"/>
        </w:rPr>
        <w:t xml:space="preserve">представляют в каждую номинацию Конкурса только 1 заявку;</w:t>
      </w:r>
    </w:p>
    <w:p>
      <w:pPr>
        <w:pStyle w:val="0"/>
        <w:spacing w:before="200" w:line-rule="auto"/>
        <w:ind w:firstLine="540"/>
        <w:jc w:val="both"/>
      </w:pPr>
      <w:r>
        <w:rPr>
          <w:sz w:val="20"/>
        </w:rPr>
        <w:t xml:space="preserve">в течение срока приема заявок вправе на информационном сервисе Конкурса внести изменения в заявку с целью устранения выявленных оператором Конкурса несоответствий требованиям Положения;</w:t>
      </w:r>
    </w:p>
    <w:p>
      <w:pPr>
        <w:pStyle w:val="0"/>
        <w:spacing w:before="200" w:line-rule="auto"/>
        <w:ind w:firstLine="540"/>
        <w:jc w:val="both"/>
      </w:pPr>
      <w:r>
        <w:rPr>
          <w:sz w:val="20"/>
        </w:rPr>
        <w:t xml:space="preserve">на протяжении всего периода проведения Конкурса могут отозвать заявку по заявлению, подписанному участником Конкурса или субъектом ходатайства, представившим данную заявку.</w:t>
      </w:r>
    </w:p>
    <w:p>
      <w:pPr>
        <w:pStyle w:val="0"/>
        <w:jc w:val="both"/>
      </w:pPr>
      <w:r>
        <w:rPr>
          <w:sz w:val="20"/>
        </w:rPr>
        <w:t xml:space="preserve">(п. 3.4 в ред. </w:t>
      </w:r>
      <w:hyperlink w:history="0" r:id="rId51"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3.5. Участник Конкурса может быть признан победителем только в 1 из номинаций Конкурса.</w:t>
      </w:r>
    </w:p>
    <w:p>
      <w:pPr>
        <w:pStyle w:val="0"/>
        <w:spacing w:before="200" w:line-rule="auto"/>
        <w:ind w:firstLine="540"/>
        <w:jc w:val="both"/>
      </w:pPr>
      <w:r>
        <w:rPr>
          <w:sz w:val="20"/>
        </w:rPr>
        <w:t xml:space="preserve">3.6. Консультирование по вопросам проведения Конкурса осуществляет оператор Конкурса в течение срока приема заявок.</w:t>
      </w:r>
    </w:p>
    <w:bookmarkStart w:id="113" w:name="P113"/>
    <w:bookmarkEnd w:id="113"/>
    <w:p>
      <w:pPr>
        <w:pStyle w:val="0"/>
        <w:spacing w:before="200" w:line-rule="auto"/>
        <w:ind w:firstLine="540"/>
        <w:jc w:val="both"/>
      </w:pPr>
      <w:r>
        <w:rPr>
          <w:sz w:val="20"/>
        </w:rPr>
        <w:t xml:space="preserve">3.7. Оператор Конкурса в течение 5 рабочих дней со дня окончания приема заявок проверяет их на соответствие </w:t>
      </w:r>
      <w:hyperlink w:history="0" w:anchor="P117" w:tooltip="3.8. Основаниями для отказа в допуске заявки к участию в Конкурсе являются:">
        <w:r>
          <w:rPr>
            <w:sz w:val="20"/>
            <w:color w:val="0000ff"/>
          </w:rPr>
          <w:t xml:space="preserve">пункту 3.8</w:t>
        </w:r>
      </w:hyperlink>
      <w:r>
        <w:rPr>
          <w:sz w:val="20"/>
        </w:rPr>
        <w:t xml:space="preserve"> Положения.</w:t>
      </w:r>
    </w:p>
    <w:p>
      <w:pPr>
        <w:pStyle w:val="0"/>
        <w:jc w:val="both"/>
      </w:pPr>
      <w:r>
        <w:rPr>
          <w:sz w:val="20"/>
        </w:rPr>
        <w:t xml:space="preserve">(в ред. </w:t>
      </w:r>
      <w:hyperlink w:history="0" r:id="rId52"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В течение срока приема заявок, а также по его окончании оператор Конкурса принимает решения об отказе в допуске заявок к участию в Конкурсе при выявлении оснований, указанных в </w:t>
      </w:r>
      <w:hyperlink w:history="0" w:anchor="P117" w:tooltip="3.8. Основаниями для отказа в допуске заявки к участию в Конкурсе являются:">
        <w:r>
          <w:rPr>
            <w:sz w:val="20"/>
            <w:color w:val="0000ff"/>
          </w:rPr>
          <w:t xml:space="preserve">пункте 3.8</w:t>
        </w:r>
      </w:hyperlink>
      <w:r>
        <w:rPr>
          <w:sz w:val="20"/>
        </w:rPr>
        <w:t xml:space="preserve"> Положения.</w:t>
      </w:r>
    </w:p>
    <w:p>
      <w:pPr>
        <w:pStyle w:val="0"/>
        <w:jc w:val="both"/>
      </w:pPr>
      <w:r>
        <w:rPr>
          <w:sz w:val="20"/>
        </w:rPr>
        <w:t xml:space="preserve">(абзац введен </w:t>
      </w:r>
      <w:hyperlink w:history="0" r:id="rId53"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постановлением</w:t>
        </w:r>
      </w:hyperlink>
      <w:r>
        <w:rPr>
          <w:sz w:val="20"/>
        </w:rPr>
        <w:t xml:space="preserve"> Губернатора ХМАО - Югры от 01.03.2024 N 24)</w:t>
      </w:r>
    </w:p>
    <w:bookmarkStart w:id="117" w:name="P117"/>
    <w:bookmarkEnd w:id="117"/>
    <w:p>
      <w:pPr>
        <w:pStyle w:val="0"/>
        <w:spacing w:before="200" w:line-rule="auto"/>
        <w:ind w:firstLine="540"/>
        <w:jc w:val="both"/>
      </w:pPr>
      <w:r>
        <w:rPr>
          <w:sz w:val="20"/>
        </w:rPr>
        <w:t xml:space="preserve">3.8. Основаниями для отказа в допуске заявки к участию в Конкурсе являются:</w:t>
      </w:r>
    </w:p>
    <w:p>
      <w:pPr>
        <w:pStyle w:val="0"/>
        <w:spacing w:before="200" w:line-rule="auto"/>
        <w:ind w:firstLine="540"/>
        <w:jc w:val="both"/>
      </w:pPr>
      <w:r>
        <w:rPr>
          <w:sz w:val="20"/>
        </w:rPr>
        <w:t xml:space="preserve">представление заявки не по утвержденной форме и (или) с нарушением срока;</w:t>
      </w:r>
    </w:p>
    <w:p>
      <w:pPr>
        <w:pStyle w:val="0"/>
        <w:spacing w:before="200" w:line-rule="auto"/>
        <w:ind w:firstLine="540"/>
        <w:jc w:val="both"/>
      </w:pPr>
      <w:r>
        <w:rPr>
          <w:sz w:val="20"/>
        </w:rPr>
        <w:t xml:space="preserve">представление недостоверной и (или) неполной информации в заявке;</w:t>
      </w:r>
    </w:p>
    <w:p>
      <w:pPr>
        <w:pStyle w:val="0"/>
        <w:jc w:val="both"/>
      </w:pPr>
      <w:r>
        <w:rPr>
          <w:sz w:val="20"/>
        </w:rPr>
        <w:t xml:space="preserve">(в ред. </w:t>
      </w:r>
      <w:hyperlink w:history="0" r:id="rId54"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несоответствие представленных успешной гражданской практики и (или) социально значимого проекта номинации, в которой они были поданы;</w:t>
      </w:r>
    </w:p>
    <w:p>
      <w:pPr>
        <w:pStyle w:val="0"/>
        <w:jc w:val="both"/>
      </w:pPr>
      <w:r>
        <w:rPr>
          <w:sz w:val="20"/>
        </w:rPr>
        <w:t xml:space="preserve">(абзац введен </w:t>
      </w:r>
      <w:hyperlink w:history="0" r:id="rId55"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постановлением</w:t>
        </w:r>
      </w:hyperlink>
      <w:r>
        <w:rPr>
          <w:sz w:val="20"/>
        </w:rPr>
        <w:t xml:space="preserve"> Губернатора ХМАО - Югры от 01.03.2024 N 24)</w:t>
      </w:r>
    </w:p>
    <w:p>
      <w:pPr>
        <w:pStyle w:val="0"/>
        <w:spacing w:before="200" w:line-rule="auto"/>
        <w:ind w:firstLine="540"/>
        <w:jc w:val="both"/>
      </w:pPr>
      <w:r>
        <w:rPr>
          <w:sz w:val="20"/>
        </w:rPr>
        <w:t xml:space="preserve">успешная гражданская практика и (или) социально значимый проект, представленные в заявке, реализовывались более 3 лет назад и (или) являются победителем Конкурса предыдущих лет;</w:t>
      </w:r>
    </w:p>
    <w:p>
      <w:pPr>
        <w:pStyle w:val="0"/>
        <w:jc w:val="both"/>
      </w:pPr>
      <w:r>
        <w:rPr>
          <w:sz w:val="20"/>
        </w:rPr>
        <w:t xml:space="preserve">(абзац введен </w:t>
      </w:r>
      <w:hyperlink w:history="0" r:id="rId56"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постановлением</w:t>
        </w:r>
      </w:hyperlink>
      <w:r>
        <w:rPr>
          <w:sz w:val="20"/>
        </w:rPr>
        <w:t xml:space="preserve"> Губернатора ХМАО - Югры от 01.03.2024 N 24)</w:t>
      </w:r>
    </w:p>
    <w:p>
      <w:pPr>
        <w:pStyle w:val="0"/>
        <w:spacing w:before="200" w:line-rule="auto"/>
        <w:ind w:firstLine="540"/>
        <w:jc w:val="both"/>
      </w:pPr>
      <w:r>
        <w:rPr>
          <w:sz w:val="20"/>
        </w:rPr>
        <w:t xml:space="preserve">несоблюдение условий, указанных в </w:t>
      </w:r>
      <w:hyperlink w:history="0" w:anchor="P99" w:tooltip="3.2. Для участия в Конкурсе его участники и субъекты ходатайства должны пройти регистрацию на информационном сервисе и представить в личном кабинете информационного сервиса заявку на русском языке, включающую информацию об успешной гражданской практике и (или) социально значимом проекте, в соответствии с направлениями, указанными в пункте 1.2 Положения, по форме, утвержденной приказом организатора Конкурса (далее - заявка).">
        <w:r>
          <w:rPr>
            <w:sz w:val="20"/>
            <w:color w:val="0000ff"/>
          </w:rPr>
          <w:t xml:space="preserve">пункте 3.2</w:t>
        </w:r>
      </w:hyperlink>
      <w:r>
        <w:rPr>
          <w:sz w:val="20"/>
        </w:rPr>
        <w:t xml:space="preserve"> Положения.</w:t>
      </w:r>
    </w:p>
    <w:p>
      <w:pPr>
        <w:pStyle w:val="0"/>
        <w:jc w:val="both"/>
      </w:pPr>
      <w:r>
        <w:rPr>
          <w:sz w:val="20"/>
        </w:rPr>
        <w:t xml:space="preserve">(абзац введен </w:t>
      </w:r>
      <w:hyperlink w:history="0" r:id="rId57"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постановлением</w:t>
        </w:r>
      </w:hyperlink>
      <w:r>
        <w:rPr>
          <w:sz w:val="20"/>
        </w:rPr>
        <w:t xml:space="preserve"> Губернатора ХМАО - Югры от 01.03.2024 N 24)</w:t>
      </w:r>
    </w:p>
    <w:p>
      <w:pPr>
        <w:pStyle w:val="0"/>
        <w:spacing w:before="200" w:line-rule="auto"/>
        <w:ind w:firstLine="540"/>
        <w:jc w:val="both"/>
      </w:pPr>
      <w:r>
        <w:rPr>
          <w:sz w:val="20"/>
        </w:rPr>
        <w:t xml:space="preserve">3.9. Оператор Конкурса не позднее 2 рабочих дней с даты окончания проверки, предусмотренной </w:t>
      </w:r>
      <w:hyperlink w:history="0" w:anchor="P113" w:tooltip="3.7. Оператор Конкурса в течение 5 рабочих дней со дня окончания приема заявок проверяет их на соответствие пункту 3.8 Положения.">
        <w:r>
          <w:rPr>
            <w:sz w:val="20"/>
            <w:color w:val="0000ff"/>
          </w:rPr>
          <w:t xml:space="preserve">пунктом 3.7</w:t>
        </w:r>
      </w:hyperlink>
      <w:r>
        <w:rPr>
          <w:sz w:val="20"/>
        </w:rPr>
        <w:t xml:space="preserve"> Положения, направляет участнику Конкурса или субъекту ходатайства через информационный сервис мотивированное уведомление об отказе в допуске к участию в Конкурсе в случае выявления оснований, предусмотренных </w:t>
      </w:r>
      <w:hyperlink w:history="0" w:anchor="P117" w:tooltip="3.8. Основаниями для отказа в допуске заявки к участию в Конкурсе являются:">
        <w:r>
          <w:rPr>
            <w:sz w:val="20"/>
            <w:color w:val="0000ff"/>
          </w:rPr>
          <w:t xml:space="preserve">пунктом 3.8</w:t>
        </w:r>
      </w:hyperlink>
      <w:r>
        <w:rPr>
          <w:sz w:val="20"/>
        </w:rPr>
        <w:t xml:space="preserve"> Положения.</w:t>
      </w:r>
    </w:p>
    <w:p>
      <w:pPr>
        <w:pStyle w:val="0"/>
        <w:jc w:val="both"/>
      </w:pPr>
      <w:r>
        <w:rPr>
          <w:sz w:val="20"/>
        </w:rPr>
        <w:t xml:space="preserve">(в ред. </w:t>
      </w:r>
      <w:hyperlink w:history="0" r:id="rId58"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3.10. Оператор Конкурса в течение 3 рабочих дней с даты окончания проверки организует онлайн-голосование в отношении заявок, допущенных к участию в Конкурсе.</w:t>
      </w:r>
    </w:p>
    <w:bookmarkStart w:id="130" w:name="P130"/>
    <w:bookmarkEnd w:id="130"/>
    <w:p>
      <w:pPr>
        <w:pStyle w:val="0"/>
        <w:spacing w:before="200" w:line-rule="auto"/>
        <w:ind w:firstLine="540"/>
        <w:jc w:val="both"/>
      </w:pPr>
      <w:r>
        <w:rPr>
          <w:sz w:val="20"/>
        </w:rPr>
        <w:t xml:space="preserve">3.11. Онлайн-голосование в течение 14 дней проводится на информационном сервисе (www.elkanko.ru) путем проставления отметок "нравится" по каждой заявке.</w:t>
      </w:r>
    </w:p>
    <w:p>
      <w:pPr>
        <w:pStyle w:val="0"/>
        <w:jc w:val="both"/>
      </w:pPr>
      <w:r>
        <w:rPr>
          <w:sz w:val="20"/>
        </w:rPr>
        <w:t xml:space="preserve">(в ред. </w:t>
      </w:r>
      <w:hyperlink w:history="0" r:id="rId59"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3.12. В течение срока, указанного в </w:t>
      </w:r>
      <w:hyperlink w:history="0" w:anchor="P130" w:tooltip="3.11. Онлайн-голосование в течение 14 дней проводится на информационном сервисе (www.elkanko.ru) путем проставления отметок &quot;нравится&quot; по каждой заявке.">
        <w:r>
          <w:rPr>
            <w:sz w:val="20"/>
            <w:color w:val="0000ff"/>
          </w:rPr>
          <w:t xml:space="preserve">пункте 3.11</w:t>
        </w:r>
      </w:hyperlink>
      <w:r>
        <w:rPr>
          <w:sz w:val="20"/>
        </w:rPr>
        <w:t xml:space="preserve"> Положения, Экспертные группы оценивают заявки от 1 до 10 баллов по каждому критерию путем выставления на информационном сервисе оценок.</w:t>
      </w:r>
    </w:p>
    <w:p>
      <w:pPr>
        <w:pStyle w:val="0"/>
        <w:spacing w:before="200" w:line-rule="auto"/>
        <w:ind w:firstLine="540"/>
        <w:jc w:val="both"/>
      </w:pPr>
      <w:r>
        <w:rPr>
          <w:sz w:val="20"/>
        </w:rPr>
        <w:t xml:space="preserve">По результатам оценок Экспертных групп оператор Конкурса складывает средний арифметический балл по каждой заявке.</w:t>
      </w:r>
    </w:p>
    <w:p>
      <w:pPr>
        <w:pStyle w:val="0"/>
        <w:jc w:val="both"/>
      </w:pPr>
      <w:r>
        <w:rPr>
          <w:sz w:val="20"/>
        </w:rPr>
        <w:t xml:space="preserve">(п. 3.12 в ред. </w:t>
      </w:r>
      <w:hyperlink w:history="0" r:id="rId60"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3.13. В случае возникновения у члена Экспертной группы личной заинтересованности при оценке заявок он обязан письменно уведомить об этом организатора Конкурса и не принимать участие в оценке всех заявок в той номинации, в которой участвует эта заявка.</w:t>
      </w:r>
    </w:p>
    <w:p>
      <w:pPr>
        <w:pStyle w:val="0"/>
        <w:jc w:val="both"/>
      </w:pPr>
      <w:r>
        <w:rPr>
          <w:sz w:val="20"/>
        </w:rPr>
        <w:t xml:space="preserve">(в ред. </w:t>
      </w:r>
      <w:hyperlink w:history="0" r:id="rId61"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3.14. По завершении онлайн-голосования оператор Конкурса подводит его итоги и прибавляет дополнительно к заявкам, получившим наибольшее количество голосов в каждой из номинаций по результатам онлайн-голосования, дополнительные баллы: 1 место - 3 балла; 2 место - 2 балла; 3 место - 1 балл; последующие места - 0 баллов.</w:t>
      </w:r>
    </w:p>
    <w:p>
      <w:pPr>
        <w:pStyle w:val="0"/>
        <w:jc w:val="both"/>
      </w:pPr>
      <w:r>
        <w:rPr>
          <w:sz w:val="20"/>
        </w:rPr>
        <w:t xml:space="preserve">(в ред. </w:t>
      </w:r>
      <w:hyperlink w:history="0" r:id="rId62"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В случае одинакового количества онлайн-голосов у нескольких заявок в одной номинации дополнительные баллы присуждаются заявке, которая ранее других зарегистрирована на информационном сервисе для участия в Конкурсе.</w:t>
      </w:r>
    </w:p>
    <w:p>
      <w:pPr>
        <w:pStyle w:val="0"/>
        <w:jc w:val="both"/>
      </w:pPr>
      <w:r>
        <w:rPr>
          <w:sz w:val="20"/>
        </w:rPr>
        <w:t xml:space="preserve">(в ред. </w:t>
      </w:r>
      <w:hyperlink w:history="0" r:id="rId63"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3.15. В течение 5 рабочих дней с даты завершения онлайн-голосования, указанного в </w:t>
      </w:r>
      <w:hyperlink w:history="0" w:anchor="P130" w:tooltip="3.11. Онлайн-голосование в течение 14 дней проводится на информационном сервисе (www.elkanko.ru) путем проставления отметок &quot;нравится&quot; по каждой заявке.">
        <w:r>
          <w:rPr>
            <w:sz w:val="20"/>
            <w:color w:val="0000ff"/>
          </w:rPr>
          <w:t xml:space="preserve">пункте 3.11</w:t>
        </w:r>
      </w:hyperlink>
      <w:r>
        <w:rPr>
          <w:sz w:val="20"/>
        </w:rPr>
        <w:t xml:space="preserve"> Положения, оператор Конкурса на основании оценок Экспертных групп и результатов онлайн-голосования формирует итоговый рейтинговый лист в каждой номинации.</w:t>
      </w:r>
    </w:p>
    <w:p>
      <w:pPr>
        <w:pStyle w:val="0"/>
        <w:jc w:val="both"/>
      </w:pPr>
      <w:r>
        <w:rPr>
          <w:sz w:val="20"/>
        </w:rPr>
        <w:t xml:space="preserve">(п. 3.15 в ред. </w:t>
      </w:r>
      <w:hyperlink w:history="0" r:id="rId64"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bookmarkStart w:id="143" w:name="P143"/>
    <w:bookmarkEnd w:id="143"/>
    <w:p>
      <w:pPr>
        <w:pStyle w:val="0"/>
        <w:spacing w:before="200" w:line-rule="auto"/>
        <w:ind w:firstLine="540"/>
        <w:jc w:val="both"/>
      </w:pPr>
      <w:r>
        <w:rPr>
          <w:sz w:val="20"/>
        </w:rPr>
        <w:t xml:space="preserve">3.16. В течение 1 рабочего дня после завершения формирования итогового рейтингового листа оператор Конкурса направляет его организатору Конкурса.</w:t>
      </w:r>
    </w:p>
    <w:p>
      <w:pPr>
        <w:pStyle w:val="0"/>
        <w:jc w:val="both"/>
      </w:pPr>
      <w:r>
        <w:rPr>
          <w:sz w:val="20"/>
        </w:rPr>
        <w:t xml:space="preserve">(п. 3.16 в ред. </w:t>
      </w:r>
      <w:hyperlink w:history="0" r:id="rId65"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3.17. Организатор Конкурса в течение 3 рабочих дней после завершения срока, предусмотренного </w:t>
      </w:r>
      <w:hyperlink w:history="0" w:anchor="P143" w:tooltip="3.16. В течение 1 рабочего дня после завершения формирования итогового рейтингового листа оператор Конкурса направляет его организатору Конкурса.">
        <w:r>
          <w:rPr>
            <w:sz w:val="20"/>
            <w:color w:val="0000ff"/>
          </w:rPr>
          <w:t xml:space="preserve">пунктом 3.16</w:t>
        </w:r>
      </w:hyperlink>
      <w:r>
        <w:rPr>
          <w:sz w:val="20"/>
        </w:rPr>
        <w:t xml:space="preserve"> Положения, проводит заседание конкурсной комиссии в том числе посредством видео-конференц-связи, на котором рассматривается и утверждается протоколом итоговый рейтинговый лист, подписанный председателем конкурсной комиссии либо уполномоченным им лицом, и определяются победители Конкурса.</w:t>
      </w:r>
    </w:p>
    <w:p>
      <w:pPr>
        <w:pStyle w:val="0"/>
        <w:jc w:val="both"/>
      </w:pPr>
      <w:r>
        <w:rPr>
          <w:sz w:val="20"/>
        </w:rPr>
        <w:t xml:space="preserve">(в ред. </w:t>
      </w:r>
      <w:hyperlink w:history="0" r:id="rId66"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Победителями Конкурса признаются участники Конкурса, чьи заявки набрали наибольшее количество баллов в каждой номинации. При этом в случае равенства количества баллов у нескольких заявок преимущество имеет тот участник Конкурса, чья заявка ранее других зарегистрирована на информационном сервисе.</w:t>
      </w:r>
    </w:p>
    <w:p>
      <w:pPr>
        <w:pStyle w:val="0"/>
        <w:jc w:val="both"/>
      </w:pPr>
      <w:r>
        <w:rPr>
          <w:sz w:val="20"/>
        </w:rPr>
        <w:t xml:space="preserve">(в ред. </w:t>
      </w:r>
      <w:hyperlink w:history="0" r:id="rId67"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3.18. Итоговый рейтинговый лист организатор Конкурса размещает на официальном сайте, а оператор Конкурса на информационном сервисе в течение 1 рабочего дня с даты его утверждения.</w:t>
      </w:r>
    </w:p>
    <w:p>
      <w:pPr>
        <w:pStyle w:val="0"/>
        <w:jc w:val="both"/>
      </w:pPr>
      <w:r>
        <w:rPr>
          <w:sz w:val="20"/>
        </w:rPr>
        <w:t xml:space="preserve">(п. 3.18 в ред. </w:t>
      </w:r>
      <w:hyperlink w:history="0" r:id="rId68"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3.19. Организатор Конкурса на основании решения конкурсной комиссии в течение 3 рабочих дней с даты утверждения соответствующего протокола утверждает список победителей Конкурса своим приказом, который размещает на официальном сайте, а оператор Конкурса - на информационном сервисе.</w:t>
      </w:r>
    </w:p>
    <w:p>
      <w:pPr>
        <w:pStyle w:val="0"/>
        <w:jc w:val="both"/>
      </w:pPr>
      <w:r>
        <w:rPr>
          <w:sz w:val="20"/>
        </w:rPr>
        <w:t xml:space="preserve">(п. 3.19 в ред. </w:t>
      </w:r>
      <w:hyperlink w:history="0" r:id="rId69"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3.20. В случае если на Конкурс представлена только 1 заявка в какой-либо номинации и она допущена к участию в Конкурсе, победителем Конкурса в этой номинации признается участник Конкурса, ее представивший.</w:t>
      </w:r>
    </w:p>
    <w:p>
      <w:pPr>
        <w:pStyle w:val="0"/>
        <w:spacing w:before="200" w:line-rule="auto"/>
        <w:ind w:firstLine="540"/>
        <w:jc w:val="both"/>
      </w:pPr>
      <w:r>
        <w:rPr>
          <w:sz w:val="20"/>
        </w:rPr>
        <w:t xml:space="preserve">3.21. Конкурс в какой-либо номинации признается несостоявшимся в случае отсутствия заявок, а также отказа в допуске к участию в этой номинации на основании </w:t>
      </w:r>
      <w:hyperlink w:history="0" w:anchor="P117" w:tooltip="3.8. Основаниями для отказа в допуске заявки к участию в Конкурсе являются:">
        <w:r>
          <w:rPr>
            <w:sz w:val="20"/>
            <w:color w:val="0000ff"/>
          </w:rPr>
          <w:t xml:space="preserve">пункта 3.8</w:t>
        </w:r>
      </w:hyperlink>
      <w:r>
        <w:rPr>
          <w:sz w:val="20"/>
        </w:rPr>
        <w:t xml:space="preserve"> Положения.</w:t>
      </w:r>
    </w:p>
    <w:p>
      <w:pPr>
        <w:pStyle w:val="0"/>
        <w:jc w:val="center"/>
      </w:pPr>
      <w:r>
        <w:rPr>
          <w:sz w:val="20"/>
        </w:rPr>
      </w:r>
    </w:p>
    <w:p>
      <w:pPr>
        <w:pStyle w:val="2"/>
        <w:outlineLvl w:val="1"/>
        <w:jc w:val="center"/>
      </w:pPr>
      <w:r>
        <w:rPr>
          <w:sz w:val="20"/>
        </w:rPr>
        <w:t xml:space="preserve">Раздел IV. КОНКУРСНАЯ КОМИССИЯ</w:t>
      </w:r>
    </w:p>
    <w:p>
      <w:pPr>
        <w:pStyle w:val="0"/>
        <w:jc w:val="center"/>
      </w:pPr>
      <w:r>
        <w:rPr>
          <w:sz w:val="20"/>
        </w:rPr>
      </w:r>
    </w:p>
    <w:p>
      <w:pPr>
        <w:pStyle w:val="0"/>
        <w:ind w:firstLine="540"/>
        <w:jc w:val="both"/>
      </w:pPr>
      <w:r>
        <w:rPr>
          <w:sz w:val="20"/>
        </w:rPr>
        <w:t xml:space="preserve">4.1. Конкурсная комиссия формируется из представителей органов государственной власти автономного округа, объединений некоммерческих организаций, центра инноваций социальной сферы Фонда поддержки предпринимательства Югры, общественных объединений, а также добровольцев (волонтеров).</w:t>
      </w:r>
    </w:p>
    <w:p>
      <w:pPr>
        <w:pStyle w:val="0"/>
        <w:jc w:val="both"/>
      </w:pPr>
      <w:r>
        <w:rPr>
          <w:sz w:val="20"/>
        </w:rPr>
        <w:t xml:space="preserve">(в ред. </w:t>
      </w:r>
      <w:hyperlink w:history="0" r:id="rId70"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постановления</w:t>
        </w:r>
      </w:hyperlink>
      <w:r>
        <w:rPr>
          <w:sz w:val="20"/>
        </w:rPr>
        <w:t xml:space="preserve"> Губернатора ХМАО - Югры от 01.03.2024 N 24)</w:t>
      </w:r>
    </w:p>
    <w:p>
      <w:pPr>
        <w:pStyle w:val="0"/>
        <w:spacing w:before="200" w:line-rule="auto"/>
        <w:ind w:firstLine="540"/>
        <w:jc w:val="both"/>
      </w:pPr>
      <w:r>
        <w:rPr>
          <w:sz w:val="20"/>
        </w:rPr>
        <w:t xml:space="preserve">4.2. В состав конкурсной комиссии входят председатель, заместитель председателя, секретарь и члены конкурсной комиссии, которые принимают участие в ее работе на общественных началах.</w:t>
      </w:r>
    </w:p>
    <w:p>
      <w:pPr>
        <w:pStyle w:val="0"/>
        <w:spacing w:before="200" w:line-rule="auto"/>
        <w:ind w:firstLine="540"/>
        <w:jc w:val="both"/>
      </w:pPr>
      <w:r>
        <w:rPr>
          <w:sz w:val="20"/>
        </w:rPr>
        <w:t xml:space="preserve">4.3. Председателем конкурсной комиссии является первый заместитель Губернатора автономного округа, в ведении которого находится организатор Конкурса.</w:t>
      </w:r>
    </w:p>
    <w:p>
      <w:pPr>
        <w:pStyle w:val="0"/>
        <w:spacing w:before="200" w:line-rule="auto"/>
        <w:ind w:firstLine="540"/>
        <w:jc w:val="both"/>
      </w:pPr>
      <w:r>
        <w:rPr>
          <w:sz w:val="20"/>
        </w:rPr>
        <w:t xml:space="preserve">В случае отсутствия председателя конкурсной комиссии его полномочия осуществляет его заместитель.</w:t>
      </w:r>
    </w:p>
    <w:p>
      <w:pPr>
        <w:pStyle w:val="0"/>
        <w:spacing w:before="200" w:line-rule="auto"/>
        <w:ind w:firstLine="540"/>
        <w:jc w:val="both"/>
      </w:pPr>
      <w:r>
        <w:rPr>
          <w:sz w:val="20"/>
        </w:rPr>
        <w:t xml:space="preserve">4.4. Заседание конкурсной комиссии считается правомочным, если на нем присутствует более половины ее членов.</w:t>
      </w:r>
    </w:p>
    <w:p>
      <w:pPr>
        <w:pStyle w:val="0"/>
        <w:spacing w:before="200" w:line-rule="auto"/>
        <w:ind w:firstLine="540"/>
        <w:jc w:val="both"/>
      </w:pPr>
      <w:r>
        <w:rPr>
          <w:sz w:val="20"/>
        </w:rPr>
        <w:t xml:space="preserve">4.5. Члены конкурсной комиссии, несогласные с принятым решением, вправе в письменной форме изложить свое мнение.</w:t>
      </w:r>
    </w:p>
    <w:p>
      <w:pPr>
        <w:pStyle w:val="0"/>
        <w:spacing w:before="200" w:line-rule="auto"/>
        <w:ind w:firstLine="540"/>
        <w:jc w:val="both"/>
      </w:pPr>
      <w:r>
        <w:rPr>
          <w:sz w:val="20"/>
        </w:rPr>
        <w:t xml:space="preserve">4.6. Члены конкурсной комиссии участвуют в заседании без права замены, за исключением случаев отпуска или болезни, при которых в заседании конкурсной комиссии участвует лицо, исполняющее обязанности члена конкурсной комиссии по должности.</w:t>
      </w:r>
    </w:p>
    <w:p>
      <w:pPr>
        <w:pStyle w:val="0"/>
        <w:spacing w:before="200" w:line-rule="auto"/>
        <w:ind w:firstLine="540"/>
        <w:jc w:val="both"/>
      </w:pPr>
      <w:r>
        <w:rPr>
          <w:sz w:val="20"/>
        </w:rPr>
        <w:t xml:space="preserve">В случае невозможности присутствовать на заседании член конкурсной комиссии вправе до начала заседания конкурсной комиссии изложить свое мнение по рассматриваемым вопросам в письменной форме, которое учитывается в ходе заседания конкурсной комиссии.</w:t>
      </w:r>
    </w:p>
    <w:p>
      <w:pPr>
        <w:pStyle w:val="0"/>
        <w:ind w:firstLine="540"/>
        <w:jc w:val="both"/>
      </w:pPr>
      <w:r>
        <w:rPr>
          <w:sz w:val="20"/>
        </w:rPr>
      </w:r>
    </w:p>
    <w:p>
      <w:pPr>
        <w:pStyle w:val="2"/>
        <w:outlineLvl w:val="1"/>
        <w:jc w:val="center"/>
      </w:pPr>
      <w:r>
        <w:rPr>
          <w:sz w:val="20"/>
        </w:rPr>
        <w:t xml:space="preserve">Раздел V. НАГРАЖДЕНИЕ ПОБЕДИТЕЛЕЙ КОНКУРСА</w:t>
      </w:r>
    </w:p>
    <w:p>
      <w:pPr>
        <w:pStyle w:val="0"/>
        <w:ind w:firstLine="540"/>
        <w:jc w:val="both"/>
      </w:pPr>
      <w:r>
        <w:rPr>
          <w:sz w:val="20"/>
        </w:rPr>
      </w:r>
    </w:p>
    <w:p>
      <w:pPr>
        <w:pStyle w:val="0"/>
        <w:ind w:firstLine="540"/>
        <w:jc w:val="both"/>
      </w:pPr>
      <w:r>
        <w:rPr>
          <w:sz w:val="20"/>
        </w:rPr>
        <w:t xml:space="preserve">5.1. Дипломы победителям Конкурса вручает Губернатор автономного округа или первый заместитель Губернатора автономного округа, в ведении которого находится организатор Конкурса, в торжественной обстановке, приуроченной к знаменательному событию.</w:t>
      </w:r>
    </w:p>
    <w:p>
      <w:pPr>
        <w:pStyle w:val="0"/>
        <w:spacing w:before="200" w:line-rule="auto"/>
        <w:ind w:firstLine="540"/>
        <w:jc w:val="both"/>
      </w:pPr>
      <w:r>
        <w:rPr>
          <w:sz w:val="20"/>
        </w:rPr>
        <w:t xml:space="preserve">5.2. В соответствии с приказом организатора Конкурса об определении победителей Конкурса оператор Конкурса перечисляет денежные премии единовременно не позднее 30 декабря текущего года на расчетные счета, открытые победителями Конкурса в российских кредитных организациях.</w:t>
      </w:r>
    </w:p>
    <w:p>
      <w:pPr>
        <w:pStyle w:val="0"/>
        <w:spacing w:before="200" w:line-rule="auto"/>
        <w:ind w:firstLine="540"/>
        <w:jc w:val="both"/>
      </w:pPr>
      <w:r>
        <w:rPr>
          <w:sz w:val="20"/>
        </w:rPr>
        <w:t xml:space="preserve">5.3. Для получения денежной премии победителю Конкурса необходимо представить оператору Конкурса реквизиты для перечисления.</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постановлению Губернатора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от 28 сентября 2004 года N 141</w:t>
      </w:r>
    </w:p>
    <w:p>
      <w:pPr>
        <w:pStyle w:val="0"/>
        <w:jc w:val="right"/>
      </w:pPr>
      <w:r>
        <w:rPr>
          <w:sz w:val="20"/>
        </w:rPr>
      </w:r>
    </w:p>
    <w:bookmarkStart w:id="184" w:name="P184"/>
    <w:bookmarkEnd w:id="184"/>
    <w:p>
      <w:pPr>
        <w:pStyle w:val="2"/>
        <w:jc w:val="center"/>
      </w:pPr>
      <w:r>
        <w:rPr>
          <w:sz w:val="20"/>
        </w:rPr>
        <w:t xml:space="preserve">СОСТАВ</w:t>
      </w:r>
    </w:p>
    <w:p>
      <w:pPr>
        <w:pStyle w:val="2"/>
        <w:jc w:val="center"/>
      </w:pPr>
      <w:r>
        <w:rPr>
          <w:sz w:val="20"/>
        </w:rPr>
        <w:t xml:space="preserve">КОНКУРСНОЙ КОМИССИИ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ХМАО - Югры от 16.03.2016 </w:t>
            </w:r>
            <w:hyperlink w:history="0" r:id="rId71" w:tooltip="Постановление Губернатора ХМАО - Югры от 16.03.2016 N 28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в сфере социальной защиты населения Ханты-Мансийского автономного округа - Югры&quot; {КонсультантПлюс}">
              <w:r>
                <w:rPr>
                  <w:sz w:val="20"/>
                  <w:color w:val="0000ff"/>
                </w:rPr>
                <w:t xml:space="preserve">N 28</w:t>
              </w:r>
            </w:hyperlink>
            <w:r>
              <w:rPr>
                <w:sz w:val="20"/>
                <w:color w:val="392c69"/>
              </w:rPr>
              <w:t xml:space="preserve">,</w:t>
            </w:r>
          </w:p>
          <w:p>
            <w:pPr>
              <w:pStyle w:val="0"/>
              <w:jc w:val="center"/>
            </w:pPr>
            <w:r>
              <w:rPr>
                <w:sz w:val="20"/>
                <w:color w:val="392c69"/>
              </w:rPr>
              <w:t xml:space="preserve">от 22.04.2016 </w:t>
            </w:r>
            <w:hyperlink w:history="0" r:id="rId72" w:tooltip="Постановление Губернатора ХМАО - Югры от 22.04.2016 N 42 &quot;О внесении изменений в приложения 1, 2 к постановлению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N 42</w:t>
              </w:r>
            </w:hyperlink>
            <w:r>
              <w:rPr>
                <w:sz w:val="20"/>
                <w:color w:val="392c69"/>
              </w:rPr>
              <w:t xml:space="preserve">, от 17.04.2019 </w:t>
            </w:r>
            <w:hyperlink w:history="0" r:id="rId73" w:tooltip="Постановление Губернатора ХМАО - Югры от 17.04.2019 N 23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N 23</w:t>
              </w:r>
            </w:hyperlink>
            <w:r>
              <w:rPr>
                <w:sz w:val="20"/>
                <w:color w:val="392c69"/>
              </w:rPr>
              <w:t xml:space="preserve">, от 26.10.2022 </w:t>
            </w:r>
            <w:hyperlink w:history="0" r:id="rId74" w:tooltip="Постановление Губернатора ХМАО - Югры от 26.10.2022 N 143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N 143</w:t>
              </w:r>
            </w:hyperlink>
            <w:r>
              <w:rPr>
                <w:sz w:val="20"/>
                <w:color w:val="392c69"/>
              </w:rPr>
              <w:t xml:space="preserve">,</w:t>
            </w:r>
          </w:p>
          <w:p>
            <w:pPr>
              <w:pStyle w:val="0"/>
              <w:jc w:val="center"/>
            </w:pPr>
            <w:r>
              <w:rPr>
                <w:sz w:val="20"/>
                <w:color w:val="392c69"/>
              </w:rPr>
              <w:t xml:space="preserve">от 24.08.2023 </w:t>
            </w:r>
            <w:hyperlink w:history="0" r:id="rId75" w:tooltip="Постановление Губернатора ХМАО - Югры от 24.08.2023 N 133 &quot;О внесении изменений в некоторые постановления Губернатора Ханты-Мансийского автономного округа - Югры&quot; {КонсультантПлюс}">
              <w:r>
                <w:rPr>
                  <w:sz w:val="20"/>
                  <w:color w:val="0000ff"/>
                </w:rPr>
                <w:t xml:space="preserve">N 133</w:t>
              </w:r>
            </w:hyperlink>
            <w:r>
              <w:rPr>
                <w:sz w:val="20"/>
                <w:color w:val="392c69"/>
              </w:rPr>
              <w:t xml:space="preserve">, от 01.03.2024 </w:t>
            </w:r>
            <w:hyperlink w:history="0" r:id="rId76" w:tooltip="Постановление Губернатора ХМАО - Югры от 01.03.2024 N 24 &quot;О внесении изменений в постановление Губернатора Ханты-Мансийского автономного округа - Югры от 28 сентября 2004 года N 141 &quot;О Конкурсе социально значимых проектов и успешных гражданских практик &quot;Премия &quot;Признание&quot; {КонсультантПлюс}">
              <w:r>
                <w:rPr>
                  <w:sz w:val="20"/>
                  <w:color w:val="0000ff"/>
                </w:rPr>
                <w:t xml:space="preserve">N 24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Первый заместитель Губернатора Ханты-Мансийского автономного округа - Югры, в ведении которого находится Департамент молодежной политики, гражданских инициатив и внешних связей Ханты-Мансийского автономного округа - Югры, председатель конкурсной комиссии</w:t>
      </w:r>
    </w:p>
    <w:p>
      <w:pPr>
        <w:pStyle w:val="0"/>
        <w:spacing w:before="200" w:line-rule="auto"/>
        <w:ind w:firstLine="540"/>
        <w:jc w:val="both"/>
      </w:pPr>
      <w:r>
        <w:rPr>
          <w:sz w:val="20"/>
        </w:rPr>
        <w:t xml:space="preserve">Директор Департамента молодежной политики, гражданских инициатив и внешних связей Ханты-Мансийского автономного округа - Югры, заместитель председателя конкурсной комиссии</w:t>
      </w:r>
    </w:p>
    <w:p>
      <w:pPr>
        <w:pStyle w:val="0"/>
        <w:spacing w:before="200" w:line-rule="auto"/>
        <w:ind w:firstLine="540"/>
        <w:jc w:val="both"/>
      </w:pPr>
      <w:r>
        <w:rPr>
          <w:sz w:val="20"/>
        </w:rPr>
        <w:t xml:space="preserve">Начальник Управления гражданских инициатив Департамента молодежной политики, гражданских инициатив и внешних связей Ханты-Мансийского автономного округа - Югры, секретарь конкурсной комиссии</w:t>
      </w:r>
    </w:p>
    <w:p>
      <w:pPr>
        <w:pStyle w:val="0"/>
        <w:spacing w:before="200" w:line-rule="auto"/>
        <w:ind w:firstLine="540"/>
        <w:jc w:val="both"/>
      </w:pPr>
      <w:r>
        <w:rPr>
          <w:sz w:val="20"/>
        </w:rPr>
        <w:t xml:space="preserve">Уполномоченный по правам человека в Ханты-Мансийском автономном округе - Югре</w:t>
      </w:r>
    </w:p>
    <w:p>
      <w:pPr>
        <w:pStyle w:val="0"/>
        <w:spacing w:before="200" w:line-rule="auto"/>
        <w:ind w:firstLine="540"/>
        <w:jc w:val="both"/>
      </w:pPr>
      <w:r>
        <w:rPr>
          <w:sz w:val="20"/>
        </w:rPr>
        <w:t xml:space="preserve">Уполномоченный по правам ребенка в Ханты-Мансийском автономном округе - Югре (по согласованию)</w:t>
      </w:r>
    </w:p>
    <w:p>
      <w:pPr>
        <w:pStyle w:val="0"/>
        <w:spacing w:before="200" w:line-rule="auto"/>
        <w:ind w:firstLine="540"/>
        <w:jc w:val="both"/>
      </w:pPr>
      <w:r>
        <w:rPr>
          <w:sz w:val="20"/>
        </w:rPr>
        <w:t xml:space="preserve">Представитель Департамента внутренней политики Ханты-Мансийского автономного округа - Югры</w:t>
      </w:r>
    </w:p>
    <w:p>
      <w:pPr>
        <w:pStyle w:val="0"/>
        <w:spacing w:before="200" w:line-rule="auto"/>
        <w:ind w:firstLine="540"/>
        <w:jc w:val="both"/>
      </w:pPr>
      <w:r>
        <w:rPr>
          <w:sz w:val="20"/>
        </w:rPr>
        <w:t xml:space="preserve">Председатель Общественной палаты Ханты-Мансийского автономного округа - Югры (по согласованию)</w:t>
      </w:r>
    </w:p>
    <w:p>
      <w:pPr>
        <w:pStyle w:val="0"/>
        <w:spacing w:before="200" w:line-rule="auto"/>
        <w:ind w:firstLine="540"/>
        <w:jc w:val="both"/>
      </w:pPr>
      <w:r>
        <w:rPr>
          <w:sz w:val="20"/>
        </w:rPr>
        <w:t xml:space="preserve">Член Общественного совета при Департаменте молодежной политики, гражданских инициатив и внешних связей Ханты-Мансийского автономного округа - Югры (по согласованию)</w:t>
      </w:r>
    </w:p>
    <w:p>
      <w:pPr>
        <w:pStyle w:val="0"/>
        <w:spacing w:before="200" w:line-rule="auto"/>
        <w:ind w:firstLine="540"/>
        <w:jc w:val="both"/>
      </w:pPr>
      <w:r>
        <w:rPr>
          <w:sz w:val="20"/>
        </w:rPr>
        <w:t xml:space="preserve">Член Общественного совета при Департаменте социального развития Ханты-Мансийского автономного округа - Югры (по согласованию)</w:t>
      </w:r>
    </w:p>
    <w:p>
      <w:pPr>
        <w:pStyle w:val="0"/>
        <w:spacing w:before="200" w:line-rule="auto"/>
        <w:ind w:firstLine="540"/>
        <w:jc w:val="both"/>
      </w:pPr>
      <w:r>
        <w:rPr>
          <w:sz w:val="20"/>
        </w:rPr>
        <w:t xml:space="preserve">Член Общественного совета при Департаменте образования и науки Ханты-Мансийского автономного округа - Югры (по согласованию)</w:t>
      </w:r>
    </w:p>
    <w:p>
      <w:pPr>
        <w:pStyle w:val="0"/>
        <w:spacing w:before="200" w:line-rule="auto"/>
        <w:ind w:firstLine="540"/>
        <w:jc w:val="both"/>
      </w:pPr>
      <w:r>
        <w:rPr>
          <w:sz w:val="20"/>
        </w:rPr>
        <w:t xml:space="preserve">Руководитель центра инноваций социальной сферы Фонда поддержки предпринимательства Югры (по согласованию)</w:t>
      </w:r>
    </w:p>
    <w:p>
      <w:pPr>
        <w:pStyle w:val="0"/>
        <w:spacing w:before="200" w:line-rule="auto"/>
        <w:ind w:firstLine="540"/>
        <w:jc w:val="both"/>
      </w:pPr>
      <w:r>
        <w:rPr>
          <w:sz w:val="20"/>
        </w:rPr>
        <w:t xml:space="preserve">Представитель Ассоциации "Совет муниципальных образований Ханты-Мансийского автономного округа - Югры" (по согласованию)</w:t>
      </w:r>
    </w:p>
    <w:p>
      <w:pPr>
        <w:pStyle w:val="0"/>
        <w:spacing w:before="200" w:line-rule="auto"/>
        <w:ind w:firstLine="540"/>
        <w:jc w:val="both"/>
      </w:pPr>
      <w:r>
        <w:rPr>
          <w:sz w:val="20"/>
        </w:rPr>
        <w:t xml:space="preserve">Представитель Региональной Ассоциации территориального общественного самоуправления Ханты-Мансийского автономного округа - Югры (по согласованию)</w:t>
      </w:r>
    </w:p>
    <w:p>
      <w:pPr>
        <w:pStyle w:val="0"/>
        <w:spacing w:before="200" w:line-rule="auto"/>
        <w:ind w:firstLine="540"/>
        <w:jc w:val="both"/>
      </w:pPr>
      <w:r>
        <w:rPr>
          <w:sz w:val="20"/>
        </w:rPr>
        <w:t xml:space="preserve">Представитель Фонда "Центр гражданских и социальных инициатив Югры" (по согласованию)</w:t>
      </w:r>
    </w:p>
    <w:p>
      <w:pPr>
        <w:pStyle w:val="0"/>
        <w:spacing w:before="200" w:line-rule="auto"/>
        <w:ind w:firstLine="540"/>
        <w:jc w:val="both"/>
      </w:pPr>
      <w:r>
        <w:rPr>
          <w:sz w:val="20"/>
        </w:rPr>
        <w:t xml:space="preserve">Региональный координатор Всероссийского общественного движения "Волонтеры Победы" (по согласованию)</w:t>
      </w:r>
    </w:p>
    <w:p>
      <w:pPr>
        <w:pStyle w:val="0"/>
        <w:spacing w:before="200" w:line-rule="auto"/>
        <w:ind w:firstLine="540"/>
        <w:jc w:val="both"/>
      </w:pPr>
      <w:r>
        <w:rPr>
          <w:sz w:val="20"/>
        </w:rPr>
        <w:t xml:space="preserve">Региональный координатор Всероссийского общественного движения "Волонтеры медики" (по согласованию).</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Губернатора ХМАО - Югры от 28.09.2004 N 141</w:t>
            <w:br/>
            <w:t>(ред. от 01.03.2024)</w:t>
            <w:br/>
            <w:t>"О Конкурсе социально значимых проектов 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926&amp;n=33878&amp;dst=100005" TargetMode = "External"/>
	<Relationship Id="rId8" Type="http://schemas.openxmlformats.org/officeDocument/2006/relationships/hyperlink" Target="https://login.consultant.ru/link/?req=doc&amp;base=RLAW926&amp;n=40737&amp;dst=100005" TargetMode = "External"/>
	<Relationship Id="rId9" Type="http://schemas.openxmlformats.org/officeDocument/2006/relationships/hyperlink" Target="https://login.consultant.ru/link/?req=doc&amp;base=RLAW926&amp;n=63394&amp;dst=100005" TargetMode = "External"/>
	<Relationship Id="rId10" Type="http://schemas.openxmlformats.org/officeDocument/2006/relationships/hyperlink" Target="https://login.consultant.ru/link/?req=doc&amp;base=RLAW926&amp;n=71547&amp;dst=100034" TargetMode = "External"/>
	<Relationship Id="rId11" Type="http://schemas.openxmlformats.org/officeDocument/2006/relationships/hyperlink" Target="https://login.consultant.ru/link/?req=doc&amp;base=RLAW926&amp;n=181335&amp;dst=100007" TargetMode = "External"/>
	<Relationship Id="rId12" Type="http://schemas.openxmlformats.org/officeDocument/2006/relationships/hyperlink" Target="https://login.consultant.ru/link/?req=doc&amp;base=RLAW926&amp;n=128453&amp;dst=100005" TargetMode = "External"/>
	<Relationship Id="rId13" Type="http://schemas.openxmlformats.org/officeDocument/2006/relationships/hyperlink" Target="https://login.consultant.ru/link/?req=doc&amp;base=RLAW926&amp;n=131026&amp;dst=100005" TargetMode = "External"/>
	<Relationship Id="rId14" Type="http://schemas.openxmlformats.org/officeDocument/2006/relationships/hyperlink" Target="https://login.consultant.ru/link/?req=doc&amp;base=RLAW926&amp;n=160625&amp;dst=100005" TargetMode = "External"/>
	<Relationship Id="rId15" Type="http://schemas.openxmlformats.org/officeDocument/2006/relationships/hyperlink" Target="https://login.consultant.ru/link/?req=doc&amp;base=RLAW926&amp;n=190618&amp;dst=100005" TargetMode = "External"/>
	<Relationship Id="rId16" Type="http://schemas.openxmlformats.org/officeDocument/2006/relationships/hyperlink" Target="https://login.consultant.ru/link/?req=doc&amp;base=RLAW926&amp;n=265958&amp;dst=100005" TargetMode = "External"/>
	<Relationship Id="rId17" Type="http://schemas.openxmlformats.org/officeDocument/2006/relationships/hyperlink" Target="https://login.consultant.ru/link/?req=doc&amp;base=RLAW926&amp;n=285977&amp;dst=100005" TargetMode = "External"/>
	<Relationship Id="rId18" Type="http://schemas.openxmlformats.org/officeDocument/2006/relationships/hyperlink" Target="https://login.consultant.ru/link/?req=doc&amp;base=RLAW926&amp;n=297762&amp;dst=100005" TargetMode = "External"/>
	<Relationship Id="rId19" Type="http://schemas.openxmlformats.org/officeDocument/2006/relationships/hyperlink" Target="https://login.consultant.ru/link/?req=doc&amp;base=RLAW926&amp;n=21781&amp;dst=100095" TargetMode = "External"/>
	<Relationship Id="rId20" Type="http://schemas.openxmlformats.org/officeDocument/2006/relationships/hyperlink" Target="https://login.consultant.ru/link/?req=doc&amp;base=RLAW926&amp;n=128453&amp;dst=100007" TargetMode = "External"/>
	<Relationship Id="rId21" Type="http://schemas.openxmlformats.org/officeDocument/2006/relationships/hyperlink" Target="https://login.consultant.ru/link/?req=doc&amp;base=RLAW926&amp;n=160625&amp;dst=100006" TargetMode = "External"/>
	<Relationship Id="rId22" Type="http://schemas.openxmlformats.org/officeDocument/2006/relationships/hyperlink" Target="https://login.consultant.ru/link/?req=doc&amp;base=RLAW926&amp;n=128453&amp;dst=100008" TargetMode = "External"/>
	<Relationship Id="rId23" Type="http://schemas.openxmlformats.org/officeDocument/2006/relationships/hyperlink" Target="https://login.consultant.ru/link/?req=doc&amp;base=RLAW926&amp;n=160625&amp;dst=100007" TargetMode = "External"/>
	<Relationship Id="rId24" Type="http://schemas.openxmlformats.org/officeDocument/2006/relationships/hyperlink" Target="https://login.consultant.ru/link/?req=doc&amp;base=RLAW926&amp;n=190618&amp;dst=100006" TargetMode = "External"/>
	<Relationship Id="rId25" Type="http://schemas.openxmlformats.org/officeDocument/2006/relationships/hyperlink" Target="https://login.consultant.ru/link/?req=doc&amp;base=RLAW926&amp;n=128453&amp;dst=100011" TargetMode = "External"/>
	<Relationship Id="rId26" Type="http://schemas.openxmlformats.org/officeDocument/2006/relationships/hyperlink" Target="https://login.consultant.ru/link/?req=doc&amp;base=RLAW926&amp;n=71547&amp;dst=100035" TargetMode = "External"/>
	<Relationship Id="rId27" Type="http://schemas.openxmlformats.org/officeDocument/2006/relationships/hyperlink" Target="https://login.consultant.ru/link/?req=doc&amp;base=RLAW926&amp;n=265958&amp;dst=100006" TargetMode = "External"/>
	<Relationship Id="rId28" Type="http://schemas.openxmlformats.org/officeDocument/2006/relationships/hyperlink" Target="https://login.consultant.ru/link/?req=doc&amp;base=RLAW926&amp;n=285977&amp;dst=100006" TargetMode = "External"/>
	<Relationship Id="rId29" Type="http://schemas.openxmlformats.org/officeDocument/2006/relationships/hyperlink" Target="https://login.consultant.ru/link/?req=doc&amp;base=RLAW926&amp;n=297762&amp;dst=100006" TargetMode = "External"/>
	<Relationship Id="rId30" Type="http://schemas.openxmlformats.org/officeDocument/2006/relationships/hyperlink" Target="https://login.consultant.ru/link/?req=doc&amp;base=RLAW926&amp;n=285977&amp;dst=100006" TargetMode = "External"/>
	<Relationship Id="rId31" Type="http://schemas.openxmlformats.org/officeDocument/2006/relationships/hyperlink" Target="https://login.consultant.ru/link/?req=doc&amp;base=RLAW926&amp;n=301492" TargetMode = "External"/>
	<Relationship Id="rId32" Type="http://schemas.openxmlformats.org/officeDocument/2006/relationships/hyperlink" Target="https://login.consultant.ru/link/?req=doc&amp;base=RLAW926&amp;n=297762&amp;dst=100008" TargetMode = "External"/>
	<Relationship Id="rId33" Type="http://schemas.openxmlformats.org/officeDocument/2006/relationships/hyperlink" Target="https://login.consultant.ru/link/?req=doc&amp;base=RLAW926&amp;n=297762&amp;dst=100007" TargetMode = "External"/>
	<Relationship Id="rId34" Type="http://schemas.openxmlformats.org/officeDocument/2006/relationships/hyperlink" Target="https://login.consultant.ru/link/?req=doc&amp;base=RLAW926&amp;n=297762&amp;dst=100010" TargetMode = "External"/>
	<Relationship Id="rId35" Type="http://schemas.openxmlformats.org/officeDocument/2006/relationships/hyperlink" Target="https://login.consultant.ru/link/?req=doc&amp;base=RLAW926&amp;n=297762&amp;dst=100011" TargetMode = "External"/>
	<Relationship Id="rId36" Type="http://schemas.openxmlformats.org/officeDocument/2006/relationships/hyperlink" Target="https://login.consultant.ru/link/?req=doc&amp;base=RLAW926&amp;n=297895&amp;dst=100021" TargetMode = "External"/>
	<Relationship Id="rId37" Type="http://schemas.openxmlformats.org/officeDocument/2006/relationships/hyperlink" Target="https://login.consultant.ru/link/?req=doc&amp;base=RLAW926&amp;n=297762&amp;dst=100013" TargetMode = "External"/>
	<Relationship Id="rId38" Type="http://schemas.openxmlformats.org/officeDocument/2006/relationships/hyperlink" Target="https://login.consultant.ru/link/?req=doc&amp;base=RLAW926&amp;n=297762&amp;dst=100015" TargetMode = "External"/>
	<Relationship Id="rId39" Type="http://schemas.openxmlformats.org/officeDocument/2006/relationships/hyperlink" Target="https://login.consultant.ru/link/?req=doc&amp;base=RLAW926&amp;n=297762&amp;dst=100017" TargetMode = "External"/>
	<Relationship Id="rId40" Type="http://schemas.openxmlformats.org/officeDocument/2006/relationships/hyperlink" Target="https://login.consultant.ru/link/?req=doc&amp;base=RLAW926&amp;n=297762&amp;dst=100018" TargetMode = "External"/>
	<Relationship Id="rId41" Type="http://schemas.openxmlformats.org/officeDocument/2006/relationships/hyperlink" Target="https://login.consultant.ru/link/?req=doc&amp;base=RLAW926&amp;n=297762&amp;dst=100019" TargetMode = "External"/>
	<Relationship Id="rId42" Type="http://schemas.openxmlformats.org/officeDocument/2006/relationships/hyperlink" Target="https://login.consultant.ru/link/?req=doc&amp;base=RLAW926&amp;n=297762&amp;dst=100007" TargetMode = "External"/>
	<Relationship Id="rId43" Type="http://schemas.openxmlformats.org/officeDocument/2006/relationships/hyperlink" Target="https://login.consultant.ru/link/?req=doc&amp;base=RLAW926&amp;n=297762&amp;dst=100021" TargetMode = "External"/>
	<Relationship Id="rId44" Type="http://schemas.openxmlformats.org/officeDocument/2006/relationships/hyperlink" Target="https://login.consultant.ru/link/?req=doc&amp;base=RLAW926&amp;n=297762&amp;dst=100022" TargetMode = "External"/>
	<Relationship Id="rId45" Type="http://schemas.openxmlformats.org/officeDocument/2006/relationships/hyperlink" Target="https://login.consultant.ru/link/?req=doc&amp;base=RLAW926&amp;n=297762&amp;dst=100023" TargetMode = "External"/>
	<Relationship Id="rId46" Type="http://schemas.openxmlformats.org/officeDocument/2006/relationships/hyperlink" Target="https://login.consultant.ru/link/?req=doc&amp;base=RLAW926&amp;n=297762&amp;dst=100007" TargetMode = "External"/>
	<Relationship Id="rId47" Type="http://schemas.openxmlformats.org/officeDocument/2006/relationships/hyperlink" Target="https://login.consultant.ru/link/?req=doc&amp;base=RLAW926&amp;n=297762&amp;dst=100024" TargetMode = "External"/>
	<Relationship Id="rId48" Type="http://schemas.openxmlformats.org/officeDocument/2006/relationships/hyperlink" Target="https://login.consultant.ru/link/?req=doc&amp;base=RLAW926&amp;n=297762&amp;dst=100007" TargetMode = "External"/>
	<Relationship Id="rId49" Type="http://schemas.openxmlformats.org/officeDocument/2006/relationships/hyperlink" Target="https://login.consultant.ru/link/?req=doc&amp;base=RLAW926&amp;n=297762&amp;dst=100026" TargetMode = "External"/>
	<Relationship Id="rId50" Type="http://schemas.openxmlformats.org/officeDocument/2006/relationships/hyperlink" Target="https://login.consultant.ru/link/?req=doc&amp;base=RLAW926&amp;n=297762&amp;dst=100028" TargetMode = "External"/>
	<Relationship Id="rId51" Type="http://schemas.openxmlformats.org/officeDocument/2006/relationships/hyperlink" Target="https://login.consultant.ru/link/?req=doc&amp;base=RLAW926&amp;n=297762&amp;dst=100030" TargetMode = "External"/>
	<Relationship Id="rId52" Type="http://schemas.openxmlformats.org/officeDocument/2006/relationships/hyperlink" Target="https://login.consultant.ru/link/?req=doc&amp;base=RLAW926&amp;n=297762&amp;dst=100035" TargetMode = "External"/>
	<Relationship Id="rId53" Type="http://schemas.openxmlformats.org/officeDocument/2006/relationships/hyperlink" Target="https://login.consultant.ru/link/?req=doc&amp;base=RLAW926&amp;n=297762&amp;dst=100036" TargetMode = "External"/>
	<Relationship Id="rId54" Type="http://schemas.openxmlformats.org/officeDocument/2006/relationships/hyperlink" Target="https://login.consultant.ru/link/?req=doc&amp;base=RLAW926&amp;n=297762&amp;dst=100039" TargetMode = "External"/>
	<Relationship Id="rId55" Type="http://schemas.openxmlformats.org/officeDocument/2006/relationships/hyperlink" Target="https://login.consultant.ru/link/?req=doc&amp;base=RLAW926&amp;n=297762&amp;dst=100041" TargetMode = "External"/>
	<Relationship Id="rId56" Type="http://schemas.openxmlformats.org/officeDocument/2006/relationships/hyperlink" Target="https://login.consultant.ru/link/?req=doc&amp;base=RLAW926&amp;n=297762&amp;dst=100043" TargetMode = "External"/>
	<Relationship Id="rId57" Type="http://schemas.openxmlformats.org/officeDocument/2006/relationships/hyperlink" Target="https://login.consultant.ru/link/?req=doc&amp;base=RLAW926&amp;n=297762&amp;dst=100044" TargetMode = "External"/>
	<Relationship Id="rId58" Type="http://schemas.openxmlformats.org/officeDocument/2006/relationships/hyperlink" Target="https://login.consultant.ru/link/?req=doc&amp;base=RLAW926&amp;n=297762&amp;dst=100045" TargetMode = "External"/>
	<Relationship Id="rId59" Type="http://schemas.openxmlformats.org/officeDocument/2006/relationships/hyperlink" Target="https://login.consultant.ru/link/?req=doc&amp;base=RLAW926&amp;n=297762&amp;dst=100007" TargetMode = "External"/>
	<Relationship Id="rId60" Type="http://schemas.openxmlformats.org/officeDocument/2006/relationships/hyperlink" Target="https://login.consultant.ru/link/?req=doc&amp;base=RLAW926&amp;n=297762&amp;dst=100047" TargetMode = "External"/>
	<Relationship Id="rId61" Type="http://schemas.openxmlformats.org/officeDocument/2006/relationships/hyperlink" Target="https://login.consultant.ru/link/?req=doc&amp;base=RLAW926&amp;n=297762&amp;dst=100050" TargetMode = "External"/>
	<Relationship Id="rId62" Type="http://schemas.openxmlformats.org/officeDocument/2006/relationships/hyperlink" Target="https://login.consultant.ru/link/?req=doc&amp;base=RLAW926&amp;n=297762&amp;dst=100051" TargetMode = "External"/>
	<Relationship Id="rId63" Type="http://schemas.openxmlformats.org/officeDocument/2006/relationships/hyperlink" Target="https://login.consultant.ru/link/?req=doc&amp;base=RLAW926&amp;n=297762&amp;dst=100007" TargetMode = "External"/>
	<Relationship Id="rId64" Type="http://schemas.openxmlformats.org/officeDocument/2006/relationships/hyperlink" Target="https://login.consultant.ru/link/?req=doc&amp;base=RLAW926&amp;n=297762&amp;dst=100053" TargetMode = "External"/>
	<Relationship Id="rId65" Type="http://schemas.openxmlformats.org/officeDocument/2006/relationships/hyperlink" Target="https://login.consultant.ru/link/?req=doc&amp;base=RLAW926&amp;n=297762&amp;dst=100055" TargetMode = "External"/>
	<Relationship Id="rId66" Type="http://schemas.openxmlformats.org/officeDocument/2006/relationships/hyperlink" Target="https://login.consultant.ru/link/?req=doc&amp;base=RLAW926&amp;n=297762&amp;dst=100057" TargetMode = "External"/>
	<Relationship Id="rId67" Type="http://schemas.openxmlformats.org/officeDocument/2006/relationships/hyperlink" Target="https://login.consultant.ru/link/?req=doc&amp;base=RLAW926&amp;n=297762&amp;dst=100058" TargetMode = "External"/>
	<Relationship Id="rId68" Type="http://schemas.openxmlformats.org/officeDocument/2006/relationships/hyperlink" Target="https://login.consultant.ru/link/?req=doc&amp;base=RLAW926&amp;n=297762&amp;dst=100060" TargetMode = "External"/>
	<Relationship Id="rId69" Type="http://schemas.openxmlformats.org/officeDocument/2006/relationships/hyperlink" Target="https://login.consultant.ru/link/?req=doc&amp;base=RLAW926&amp;n=297762&amp;dst=100062" TargetMode = "External"/>
	<Relationship Id="rId70" Type="http://schemas.openxmlformats.org/officeDocument/2006/relationships/hyperlink" Target="https://login.consultant.ru/link/?req=doc&amp;base=RLAW926&amp;n=297762&amp;dst=100063" TargetMode = "External"/>
	<Relationship Id="rId71" Type="http://schemas.openxmlformats.org/officeDocument/2006/relationships/hyperlink" Target="https://login.consultant.ru/link/?req=doc&amp;base=RLAW926&amp;n=128453&amp;dst=100090" TargetMode = "External"/>
	<Relationship Id="rId72" Type="http://schemas.openxmlformats.org/officeDocument/2006/relationships/hyperlink" Target="https://login.consultant.ru/link/?req=doc&amp;base=RLAW926&amp;n=131026&amp;dst=100005" TargetMode = "External"/>
	<Relationship Id="rId73" Type="http://schemas.openxmlformats.org/officeDocument/2006/relationships/hyperlink" Target="https://login.consultant.ru/link/?req=doc&amp;base=RLAW926&amp;n=190618&amp;dst=100042" TargetMode = "External"/>
	<Relationship Id="rId74" Type="http://schemas.openxmlformats.org/officeDocument/2006/relationships/hyperlink" Target="https://login.consultant.ru/link/?req=doc&amp;base=RLAW926&amp;n=265958&amp;dst=100086" TargetMode = "External"/>
	<Relationship Id="rId75" Type="http://schemas.openxmlformats.org/officeDocument/2006/relationships/hyperlink" Target="https://login.consultant.ru/link/?req=doc&amp;base=RLAW926&amp;n=285977&amp;dst=100007" TargetMode = "External"/>
	<Relationship Id="rId76" Type="http://schemas.openxmlformats.org/officeDocument/2006/relationships/hyperlink" Target="https://login.consultant.ru/link/?req=doc&amp;base=RLAW926&amp;n=297762&amp;dst=10006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ХМАО - Югры от 28.09.2004 N 141
(ред. от 01.03.2024)
"О Конкурсе социально значимых проектов и успешных гражданских практик "Премия "Признание"
(вместе с "Положением о конкурсе социально значимых проектов и успешных гражданских практик "Премия "Признание")</dc:title>
  <dcterms:created xsi:type="dcterms:W3CDTF">2024-06-10T05:28:38Z</dcterms:created>
</cp:coreProperties>
</file>